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39C" w:rsidRDefault="00BB6E59">
      <w:pPr>
        <w:widowControl/>
        <w:spacing w:line="324" w:lineRule="atLeast"/>
        <w:rPr>
          <w:rFonts w:ascii="Times New Roman" w:eastAsia="SimSun" w:cs="Times New Roman"/>
          <w:color w:val="000000"/>
          <w:kern w:val="0"/>
          <w:sz w:val="28"/>
          <w:szCs w:val="28"/>
        </w:rPr>
      </w:pPr>
      <w:bookmarkStart w:id="0" w:name="_GoBack"/>
      <w:bookmarkEnd w:id="0"/>
      <w:r>
        <w:rPr>
          <w:rFonts w:ascii="Times New Roman" w:eastAsia="SimSun"/>
          <w:color w:val="000000"/>
          <w:sz w:val="28"/>
        </w:rPr>
        <w:t>Appendix 4-3-4</w:t>
      </w:r>
    </w:p>
    <w:p w:rsidR="0046739C" w:rsidRDefault="00BB6E59">
      <w:pPr>
        <w:widowControl/>
        <w:spacing w:line="324" w:lineRule="atLeast"/>
        <w:jc w:val="center"/>
        <w:rPr>
          <w:rFonts w:ascii="Times New Roman" w:eastAsia="SimSun" w:cs="Times New Roman"/>
          <w:color w:val="000000"/>
          <w:kern w:val="0"/>
          <w:sz w:val="36"/>
          <w:szCs w:val="36"/>
        </w:rPr>
      </w:pPr>
      <w:r>
        <w:rPr>
          <w:rFonts w:ascii="Times New Roman" w:eastAsia="SimSun"/>
          <w:color w:val="000000"/>
          <w:sz w:val="36"/>
        </w:rPr>
        <w:t>Registration Conditions and Control Inspection Points of Overseas Manufacturers of Imported Health Food</w:t>
      </w:r>
    </w:p>
    <w:p w:rsidR="0046739C" w:rsidRDefault="00BB6E59">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Registration number:</w:t>
      </w:r>
    </w:p>
    <w:p w:rsidR="0046739C" w:rsidRDefault="00BB6E59">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Enterprise name:</w:t>
      </w:r>
    </w:p>
    <w:p w:rsidR="0046739C" w:rsidRDefault="00BB6E59">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Address:</w:t>
      </w:r>
    </w:p>
    <w:p w:rsidR="0046739C" w:rsidRDefault="00BB6E59">
      <w:pPr>
        <w:pStyle w:val="110"/>
        <w:adjustRightInd w:val="0"/>
        <w:snapToGrid w:val="0"/>
        <w:spacing w:line="560" w:lineRule="exact"/>
        <w:ind w:firstLine="480"/>
        <w:jc w:val="left"/>
        <w:rPr>
          <w:rFonts w:ascii="Times New Roman" w:eastAsia="SimSun"/>
          <w:sz w:val="24"/>
          <w:szCs w:val="24"/>
        </w:rPr>
      </w:pPr>
      <w:r>
        <w:rPr>
          <w:rFonts w:ascii="Times New Roman" w:eastAsia="SimSun"/>
          <w:sz w:val="24"/>
        </w:rPr>
        <w:t>Date of filling in:</w:t>
      </w:r>
    </w:p>
    <w:p w:rsidR="0046739C" w:rsidRDefault="00BB6E59">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Notes:</w:t>
      </w:r>
    </w:p>
    <w:p w:rsidR="0046739C" w:rsidRDefault="00BB6E59">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 xml:space="preserve">1. According to the </w:t>
      </w:r>
      <w:r>
        <w:rPr>
          <w:rFonts w:ascii="Times New Roman" w:eastAsia="SimSun"/>
          <w:i/>
          <w:color w:val="000000"/>
          <w:sz w:val="24"/>
        </w:rPr>
        <w:t xml:space="preserve">Regulations of the People's Republic of </w:t>
      </w:r>
      <w:r>
        <w:rPr>
          <w:rFonts w:ascii="Times New Roman" w:eastAsia="SimSun"/>
          <w:i/>
          <w:color w:val="000000"/>
          <w:sz w:val="24"/>
        </w:rPr>
        <w:t>China on the Registration and Administration of Overseas Manufacturers of Imported Food</w:t>
      </w:r>
      <w:r>
        <w:rPr>
          <w:rFonts w:ascii="Times New Roman" w:eastAsia="SimSun"/>
          <w:color w:val="000000"/>
          <w:sz w:val="24"/>
        </w:rPr>
        <w:t xml:space="preserve"> (Decree No.248 of the General Administration of Customs of China), the sanitary conditions of overseas manufacturers of health food applying for registration in China s</w:t>
      </w:r>
      <w:r>
        <w:rPr>
          <w:rFonts w:ascii="Times New Roman" w:eastAsia="SimSun"/>
          <w:color w:val="000000"/>
          <w:sz w:val="24"/>
        </w:rPr>
        <w:t>hall conform to Chinese laws, regulations, standards and norms. The table is for the overseas competent authorities of imported health food to carry out official inspections on manufacturers of health food based on the listed main conditions, bases and ins</w:t>
      </w:r>
      <w:r>
        <w:rPr>
          <w:rFonts w:ascii="Times New Roman" w:eastAsia="SimSun"/>
          <w:color w:val="000000"/>
          <w:sz w:val="24"/>
        </w:rPr>
        <w:t>pection focuses. At the same time, overseas manufacturers of health food fill in and submit supporting materials based on the listed main conditions and bases, and carry out self-examination against the inspection focuses for self-assessment before applyin</w:t>
      </w:r>
      <w:r>
        <w:rPr>
          <w:rFonts w:ascii="Times New Roman" w:eastAsia="SimSun"/>
          <w:color w:val="000000"/>
          <w:sz w:val="24"/>
        </w:rPr>
        <w:t>g for registration.</w:t>
      </w:r>
    </w:p>
    <w:p w:rsidR="0046739C" w:rsidRDefault="00BB6E59">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lastRenderedPageBreak/>
        <w:t>2. Overseas competent authorities and overseas manufacturers of health food shall make the conformity determination based on the actual inspection situation.</w:t>
      </w:r>
    </w:p>
    <w:p w:rsidR="0046739C" w:rsidRDefault="00BB6E59">
      <w:pPr>
        <w:widowControl/>
        <w:spacing w:line="560" w:lineRule="exact"/>
        <w:ind w:firstLineChars="200" w:firstLine="480"/>
        <w:rPr>
          <w:rFonts w:ascii="Times New Roman" w:eastAsia="SimSun" w:cs="Times New Roman"/>
          <w:color w:val="000000"/>
          <w:kern w:val="0"/>
          <w:sz w:val="24"/>
          <w:szCs w:val="24"/>
        </w:rPr>
      </w:pPr>
      <w:r>
        <w:rPr>
          <w:rFonts w:ascii="Times New Roman" w:eastAsia="SimSun"/>
          <w:color w:val="000000"/>
          <w:sz w:val="24"/>
        </w:rPr>
        <w:t>3. The submitted materials shall be truly filled out in Chinese or English. Th</w:t>
      </w:r>
      <w:r>
        <w:rPr>
          <w:rFonts w:ascii="Times New Roman" w:eastAsia="SimSun"/>
          <w:color w:val="000000"/>
          <w:sz w:val="24"/>
        </w:rPr>
        <w:t>e appendices shall be numbered, and their numbers and contents shall accurately correspond to the item numbers and contents in the column of "Filling in Requirements and Supporting Materials". The list of supporting materials shall be attached.</w:t>
      </w:r>
    </w:p>
    <w:p w:rsidR="0046739C" w:rsidRDefault="0046739C">
      <w:pPr>
        <w:widowControl/>
        <w:spacing w:line="324" w:lineRule="atLeast"/>
        <w:rPr>
          <w:rFonts w:ascii="Times New Roman" w:eastAsia="SimSun" w:cs="Times New Roman"/>
          <w:color w:val="000000"/>
          <w:kern w:val="0"/>
          <w:sz w:val="27"/>
          <w:szCs w:val="27"/>
        </w:rPr>
      </w:pPr>
    </w:p>
    <w:p w:rsidR="0046739C" w:rsidRDefault="0046739C">
      <w:pPr>
        <w:widowControl/>
        <w:spacing w:line="324" w:lineRule="atLeast"/>
        <w:jc w:val="center"/>
        <w:rPr>
          <w:rFonts w:ascii="Times New Roman" w:eastAsia="SimSun" w:cs="Times New Roman"/>
          <w:color w:val="000000"/>
          <w:kern w:val="0"/>
          <w:sz w:val="32"/>
          <w:szCs w:val="32"/>
        </w:rPr>
      </w:pPr>
    </w:p>
    <w:p w:rsidR="0046739C" w:rsidRDefault="0046739C">
      <w:pPr>
        <w:widowControl/>
        <w:spacing w:line="324" w:lineRule="atLeast"/>
        <w:rPr>
          <w:rFonts w:ascii="Times New Roman" w:eastAsia="SimSun" w:cs="Times New Roman"/>
          <w:color w:val="000000"/>
          <w:kern w:val="0"/>
          <w:sz w:val="32"/>
          <w:szCs w:val="32"/>
        </w:rPr>
      </w:pPr>
    </w:p>
    <w:tbl>
      <w:tblPr>
        <w:tblW w:w="1400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3885"/>
        <w:gridCol w:w="3570"/>
        <w:gridCol w:w="2310"/>
        <w:gridCol w:w="2114"/>
        <w:gridCol w:w="721"/>
      </w:tblGrid>
      <w:tr w:rsidR="0046739C">
        <w:trPr>
          <w:trHeight w:val="764"/>
        </w:trPr>
        <w:tc>
          <w:tcPr>
            <w:tcW w:w="1405" w:type="dxa"/>
            <w:vAlign w:val="center"/>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Item</w:t>
            </w:r>
          </w:p>
        </w:tc>
        <w:tc>
          <w:tcPr>
            <w:tcW w:w="3885" w:type="dxa"/>
            <w:vAlign w:val="center"/>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sz w:val="24"/>
              </w:rPr>
              <w:t>Con</w:t>
            </w:r>
            <w:r>
              <w:rPr>
                <w:rFonts w:ascii="Times New Roman" w:eastAsia="SimSun"/>
                <w:sz w:val="24"/>
              </w:rPr>
              <w:t>ditions and bases</w:t>
            </w:r>
          </w:p>
        </w:tc>
        <w:tc>
          <w:tcPr>
            <w:tcW w:w="3570" w:type="dxa"/>
            <w:vAlign w:val="center"/>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sz w:val="24"/>
              </w:rPr>
              <w:t>Filling in Requirements and Supporting Materials</w:t>
            </w:r>
          </w:p>
        </w:tc>
        <w:tc>
          <w:tcPr>
            <w:tcW w:w="2310" w:type="dxa"/>
            <w:vAlign w:val="center"/>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sz w:val="24"/>
              </w:rPr>
              <w:t>Focus of examination</w:t>
            </w:r>
          </w:p>
        </w:tc>
        <w:tc>
          <w:tcPr>
            <w:tcW w:w="2114" w:type="dxa"/>
            <w:vAlign w:val="center"/>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sz w:val="24"/>
              </w:rPr>
              <w:t>Conformity determination</w:t>
            </w:r>
          </w:p>
        </w:tc>
        <w:tc>
          <w:tcPr>
            <w:tcW w:w="721" w:type="dxa"/>
            <w:vAlign w:val="center"/>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sz w:val="24"/>
              </w:rPr>
              <w:t>Remarks</w:t>
            </w:r>
          </w:p>
        </w:tc>
      </w:tr>
      <w:tr w:rsidR="0046739C">
        <w:trPr>
          <w:trHeight w:val="297"/>
        </w:trPr>
        <w:tc>
          <w:tcPr>
            <w:tcW w:w="14005" w:type="dxa"/>
            <w:gridSpan w:val="6"/>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t>1. Enterprise Overview</w:t>
            </w:r>
          </w:p>
        </w:tc>
      </w:tr>
      <w:tr w:rsidR="0046739C">
        <w:trPr>
          <w:trHeight w:val="764"/>
        </w:trPr>
        <w:tc>
          <w:tcPr>
            <w:tcW w:w="1405" w:type="dxa"/>
            <w:vAlign w:val="center"/>
          </w:tcPr>
          <w:p w:rsidR="0046739C" w:rsidRDefault="00BB6E59">
            <w:pPr>
              <w:pStyle w:val="1"/>
              <w:spacing w:line="0" w:lineRule="atLeast"/>
              <w:ind w:firstLineChars="0" w:firstLine="0"/>
              <w:rPr>
                <w:rFonts w:ascii="Times New Roman" w:eastAsia="SimSun" w:cs="Times New Roman"/>
                <w:bCs/>
                <w:sz w:val="24"/>
                <w:szCs w:val="24"/>
              </w:rPr>
            </w:pPr>
            <w:r>
              <w:rPr>
                <w:rFonts w:ascii="Times New Roman" w:eastAsia="SimSun"/>
                <w:sz w:val="24"/>
              </w:rPr>
              <w:t>1.1 Basic information of enterprise</w:t>
            </w:r>
          </w:p>
          <w:p w:rsidR="0046739C" w:rsidRDefault="0046739C">
            <w:pPr>
              <w:pStyle w:val="1"/>
              <w:spacing w:line="0" w:lineRule="atLeast"/>
              <w:ind w:firstLineChars="0" w:firstLine="0"/>
              <w:rPr>
                <w:rFonts w:ascii="Times New Roman" w:eastAsia="SimSun" w:cs="Times New Roman"/>
                <w:b/>
                <w:bCs/>
                <w:sz w:val="24"/>
                <w:szCs w:val="24"/>
              </w:rPr>
            </w:pPr>
          </w:p>
        </w:tc>
        <w:tc>
          <w:tcPr>
            <w:tcW w:w="3885" w:type="dxa"/>
            <w:vAlign w:val="center"/>
          </w:tcPr>
          <w:p w:rsidR="0046739C" w:rsidRDefault="00BB6E59">
            <w:pPr>
              <w:widowControl/>
              <w:spacing w:line="0" w:lineRule="atLeast"/>
              <w:rPr>
                <w:rFonts w:ascii="Times New Roman" w:eastAsia="SimSun" w:cs="Times New Roman"/>
                <w:kern w:val="0"/>
                <w:sz w:val="24"/>
                <w:szCs w:val="24"/>
              </w:rPr>
            </w:pPr>
            <w:r>
              <w:rPr>
                <w:rFonts w:ascii="Times New Roman" w:eastAsia="SimSun"/>
                <w:i/>
                <w:color w:val="000000"/>
                <w:sz w:val="24"/>
              </w:rPr>
              <w:t xml:space="preserve">Regulations of the People's Republic of China on the Registration and </w:t>
            </w:r>
            <w:r>
              <w:rPr>
                <w:rFonts w:ascii="Times New Roman" w:eastAsia="SimSun"/>
                <w:i/>
                <w:color w:val="000000"/>
                <w:sz w:val="24"/>
              </w:rPr>
              <w:t>Administration of Overseas Manufacturers of Imported Food</w:t>
            </w:r>
            <w:r>
              <w:rPr>
                <w:rFonts w:ascii="Times New Roman" w:eastAsia="SimSun"/>
                <w:color w:val="000000"/>
                <w:sz w:val="24"/>
              </w:rPr>
              <w:t xml:space="preserve"> (Decree No. 248 of General Administration of Customs of China)</w:t>
            </w:r>
          </w:p>
        </w:tc>
        <w:tc>
          <w:tcPr>
            <w:tcW w:w="3570" w:type="dxa"/>
            <w:vAlign w:val="center"/>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color w:val="000000"/>
                <w:sz w:val="24"/>
              </w:rPr>
              <w:t>Fill in the Basic Information Form for Overseas Manufacturers of Imported Health Food.</w:t>
            </w:r>
          </w:p>
        </w:tc>
        <w:tc>
          <w:tcPr>
            <w:tcW w:w="2310" w:type="dxa"/>
            <w:vAlign w:val="center"/>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Focus on whether the registered name, address, r</w:t>
            </w:r>
            <w:r>
              <w:rPr>
                <w:rFonts w:ascii="Times New Roman" w:eastAsia="SimSun"/>
                <w:sz w:val="24"/>
              </w:rPr>
              <w:t>egistration number, etc. are consistent with the registration information submitted by the official authority</w:t>
            </w:r>
          </w:p>
        </w:tc>
        <w:tc>
          <w:tcPr>
            <w:tcW w:w="2114"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764"/>
        </w:trPr>
        <w:tc>
          <w:tcPr>
            <w:tcW w:w="1405" w:type="dxa"/>
            <w:vAlign w:val="center"/>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lastRenderedPageBreak/>
              <w:t>1.2 Information on products to be exported to China</w:t>
            </w:r>
          </w:p>
          <w:p w:rsidR="0046739C" w:rsidRDefault="0046739C">
            <w:pPr>
              <w:pStyle w:val="10110"/>
              <w:spacing w:line="0" w:lineRule="atLeast"/>
              <w:ind w:firstLineChars="0" w:firstLine="0"/>
              <w:rPr>
                <w:rFonts w:ascii="Times New Roman" w:hAnsi="Times New Roman" w:cs="Times New Roman"/>
                <w:sz w:val="24"/>
                <w:szCs w:val="24"/>
              </w:rPr>
            </w:pPr>
          </w:p>
        </w:tc>
        <w:tc>
          <w:tcPr>
            <w:tcW w:w="3885" w:type="dxa"/>
            <w:vAlign w:val="center"/>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Article 76 of the </w:t>
            </w:r>
            <w:r>
              <w:rPr>
                <w:rFonts w:ascii="Times New Roman" w:eastAsia="SimSun"/>
                <w:i/>
                <w:sz w:val="24"/>
              </w:rPr>
              <w:t>Food Safety Law of the People's Repub</w:t>
            </w:r>
            <w:r>
              <w:rPr>
                <w:rFonts w:ascii="Times New Roman" w:eastAsia="SimSun"/>
                <w:i/>
                <w:sz w:val="24"/>
              </w:rPr>
              <w:t>lic of China</w:t>
            </w:r>
            <w:r>
              <w:rPr>
                <w:rFonts w:ascii="Times New Roman" w:eastAsia="SimSun"/>
                <w:sz w:val="24"/>
              </w:rPr>
              <w:t>: Health food using raw materials other than those listed in the catalogue of health food raw materials and health food imported for the first time shall be registered with relevant food safety supervision and management department under the St</w:t>
            </w:r>
            <w:r>
              <w:rPr>
                <w:rFonts w:ascii="Times New Roman" w:eastAsia="SimSun"/>
                <w:sz w:val="24"/>
              </w:rPr>
              <w:t>ate Council. However, health foods imported for the first time that are supplemental vitamins, minerals and other nutrients shall be reported to the food safety supervision and management department under the State Council for the record. Other health food</w:t>
            </w:r>
            <w:r>
              <w:rPr>
                <w:rFonts w:ascii="Times New Roman" w:eastAsia="SimSun"/>
                <w:sz w:val="24"/>
              </w:rPr>
              <w:t>s shall be reported to the food safety supervision and management department of the people's government of the province, autonomous region or municipality directly under the Central Government for the record.</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Imported health food shall be those authorized </w:t>
            </w:r>
            <w:r>
              <w:rPr>
                <w:rFonts w:ascii="Times New Roman" w:eastAsia="SimSun"/>
                <w:sz w:val="24"/>
              </w:rPr>
              <w:t>for sale by the competent authorities of the exporting country (region).</w:t>
            </w:r>
          </w:p>
        </w:tc>
        <w:tc>
          <w:tcPr>
            <w:tcW w:w="3570" w:type="dxa"/>
            <w:vAlign w:val="center"/>
          </w:tcPr>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1.2.1. Product information, including product name, function descriptions, packaging specifications, packaging form and corresponding HS code and classification code;</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1.2.2. Imported </w:t>
            </w:r>
            <w:r>
              <w:rPr>
                <w:rFonts w:ascii="Times New Roman" w:hAnsi="Times New Roman"/>
                <w:sz w:val="24"/>
              </w:rPr>
              <w:t>health food registration certificates or filing certificates;</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1.2.3. Documents certifying that the competent authority of the exporting country (region) has granted permission to market the goods.</w:t>
            </w:r>
          </w:p>
        </w:tc>
        <w:tc>
          <w:tcPr>
            <w:tcW w:w="2310" w:type="dxa"/>
            <w:vAlign w:val="center"/>
          </w:tcPr>
          <w:p w:rsidR="0046739C" w:rsidRDefault="00BB6E59">
            <w:pPr>
              <w:pStyle w:val="101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 xml:space="preserve">1. Focus on whether the products have imported health food </w:t>
            </w:r>
            <w:r>
              <w:rPr>
                <w:rFonts w:ascii="Times New Roman" w:hAnsi="Times New Roman"/>
                <w:sz w:val="24"/>
              </w:rPr>
              <w:t>registration certificates or filing vouchers, and whether the product names, function descriptions, packaging specifications and packaging types of the products are consistent with those contained in the imported health food registration certificates or fi</w:t>
            </w:r>
            <w:r>
              <w:rPr>
                <w:rFonts w:ascii="Times New Roman" w:hAnsi="Times New Roman"/>
                <w:sz w:val="24"/>
              </w:rPr>
              <w:t>ling vouchers;</w:t>
            </w:r>
          </w:p>
          <w:p w:rsidR="0046739C" w:rsidRDefault="00BB6E59">
            <w:pPr>
              <w:pStyle w:val="10110"/>
              <w:autoSpaceDE w:val="0"/>
              <w:autoSpaceDN w:val="0"/>
              <w:spacing w:line="0" w:lineRule="atLeast"/>
              <w:ind w:firstLineChars="0" w:firstLine="0"/>
              <w:rPr>
                <w:rFonts w:ascii="Times New Roman" w:hAnsi="Times New Roman" w:cs="Times New Roman"/>
                <w:sz w:val="24"/>
                <w:szCs w:val="24"/>
              </w:rPr>
            </w:pPr>
            <w:r>
              <w:rPr>
                <w:rFonts w:ascii="Times New Roman" w:hAnsi="Times New Roman"/>
                <w:sz w:val="24"/>
              </w:rPr>
              <w:t>2. Review whether the product is permitted by the competent authorities of the exporting country (region) for marketing and sale.</w:t>
            </w:r>
          </w:p>
        </w:tc>
        <w:tc>
          <w:tcPr>
            <w:tcW w:w="2114"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452"/>
        </w:trPr>
        <w:tc>
          <w:tcPr>
            <w:tcW w:w="14005" w:type="dxa"/>
            <w:gridSpan w:val="6"/>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t>2. Raw and Auxiliary Materials and Packaging Materials</w:t>
            </w:r>
          </w:p>
        </w:tc>
      </w:tr>
      <w:tr w:rsidR="0046739C">
        <w:trPr>
          <w:trHeight w:val="764"/>
        </w:trPr>
        <w:tc>
          <w:tcPr>
            <w:tcW w:w="1405"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lastRenderedPageBreak/>
              <w:t>2.1 Acceptance of</w:t>
            </w:r>
            <w:r>
              <w:rPr>
                <w:rFonts w:ascii="Times New Roman" w:eastAsia="SimSun"/>
                <w:sz w:val="24"/>
              </w:rPr>
              <w:t xml:space="preserve"> raw and auxiliary materials</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cs="Times New Roman"/>
                <w:sz w:val="24"/>
              </w:rPr>
              <w:t> </w:t>
            </w:r>
          </w:p>
        </w:tc>
        <w:tc>
          <w:tcPr>
            <w:tcW w:w="3885"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xml:space="preserve">2.1.1 </w:t>
            </w:r>
            <w:r>
              <w:rPr>
                <w:rFonts w:ascii="Times New Roman" w:eastAsia="SimSun"/>
                <w:i/>
                <w:sz w:val="24"/>
              </w:rPr>
              <w:t>National Food Safety Standard - Good Manufacture Practice for Health Food</w:t>
            </w:r>
            <w:r>
              <w:rPr>
                <w:rFonts w:ascii="Times New Roman" w:eastAsia="SimSun"/>
                <w:sz w:val="24"/>
              </w:rPr>
              <w:t xml:space="preserve"> (GB17405-1998) (6.2 Raw materials must meet food hygiene requirements. The variety, source, specification and quality of raw materials shall be consistent with the approved formula and product corporate standards.</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2.1.2 Valid inspection reports must be ob</w:t>
            </w:r>
            <w:r>
              <w:rPr>
                <w:rFonts w:ascii="Times New Roman" w:eastAsia="SimSun"/>
                <w:sz w:val="24"/>
              </w:rPr>
              <w:t>tained for purchased raw materials in accordance with relevant regulations; Approval certificates (copies) from the Ministry of Health must be obtained for raw materials belonging to new food resources.</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2.1.3 Strain identification reports, stability report</w:t>
            </w:r>
            <w:r>
              <w:rPr>
                <w:rFonts w:ascii="Times New Roman" w:eastAsia="SimSun"/>
                <w:sz w:val="24"/>
              </w:rPr>
              <w:t>s, and certification documents certifying that the strain does not contain drug resistance factors must be obtained for mycelium prepared by artificial fermentation or the mixture of mycelium and fermentation products and microecological raw materials.</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2.1</w:t>
            </w:r>
            <w:r>
              <w:rPr>
                <w:rFonts w:ascii="Times New Roman" w:eastAsia="SimSun"/>
                <w:sz w:val="24"/>
              </w:rPr>
              <w:t xml:space="preserve">.4 A variety identification report must be obtained for raw materials such as algae, animals and animal tissue organs. The test reports of physical and chemical properties and contents shall be obtained for raw materials being a single effective substance </w:t>
            </w:r>
            <w:r>
              <w:rPr>
                <w:rFonts w:ascii="Times New Roman" w:eastAsia="SimSun"/>
                <w:sz w:val="24"/>
              </w:rPr>
              <w:t>extracted from animals/plants, or biological or chemical compounds.</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2.1.5 The content test report shall be obtained for raw materials containing stimulants or hormones; Information on the irradiation dose shall be obtained for raw materials subject to radi</w:t>
            </w:r>
            <w:r>
              <w:rPr>
                <w:rFonts w:ascii="Times New Roman" w:eastAsia="SimSun"/>
                <w:sz w:val="24"/>
              </w:rPr>
              <w:t>oactive radiation.)</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xml:space="preserve">2.1.6 </w:t>
            </w:r>
            <w:r>
              <w:rPr>
                <w:rFonts w:ascii="Times New Roman" w:eastAsia="SimSun"/>
                <w:i/>
                <w:sz w:val="24"/>
              </w:rPr>
              <w:t>National Food Safety Standard - General Hygienic Regulation for Food Production</w:t>
            </w:r>
            <w:r>
              <w:rPr>
                <w:rFonts w:ascii="Times New Roman" w:eastAsia="SimSun"/>
                <w:sz w:val="24"/>
              </w:rPr>
              <w:t xml:space="preserve"> (GB14881-2013) (7.2.1 The supplier's licenses and product qualification certificates shall be checked for purchased food raw materials; food raw mater</w:t>
            </w:r>
            <w:r>
              <w:rPr>
                <w:rFonts w:ascii="Times New Roman" w:eastAsia="SimSun"/>
                <w:sz w:val="24"/>
              </w:rPr>
              <w:t>ials for which qualification certificates cannot be provided shall be inspected as per food safety standards.</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2.1.7 Food raw materials must be accepted before use. After acceptance, unqualified food raw materials shall be placed separately from qualified p</w:t>
            </w:r>
            <w:r>
              <w:rPr>
                <w:rFonts w:ascii="Times New Roman" w:eastAsia="SimSun"/>
                <w:sz w:val="24"/>
              </w:rPr>
              <w:t>roducts in the designated area and clearly marked, and shall be promptly returned or replaced.</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2.1.8 Sensory examination shall be carried out before processing, if necessary, laboratory examination shall be carried out; if the indicators involving food saf</w:t>
            </w:r>
            <w:r>
              <w:rPr>
                <w:rFonts w:ascii="Times New Roman" w:eastAsia="SimSun"/>
                <w:sz w:val="24"/>
              </w:rPr>
              <w:t>ety items are found to be abnormal after testing, the food raw materials shall not be used; only the determined applicable food raw materials shall be used.</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2.1.9 Qualification certificates of products shall be checked at the time of procurement of food pa</w:t>
            </w:r>
            <w:r>
              <w:rPr>
                <w:rFonts w:ascii="Times New Roman" w:eastAsia="SimSun"/>
                <w:sz w:val="24"/>
              </w:rPr>
              <w:t>ckaging materials, containers, detergents, disinfectants and other food-related products, and the supplier's license shall also be checked for food-related products under licensing control. Food-related products such as food packaging materials must be acc</w:t>
            </w:r>
            <w:r>
              <w:rPr>
                <w:rFonts w:ascii="Times New Roman" w:eastAsia="SimSun"/>
                <w:sz w:val="24"/>
              </w:rPr>
              <w:t>epted before use.)</w:t>
            </w:r>
          </w:p>
        </w:tc>
        <w:tc>
          <w:tcPr>
            <w:tcW w:w="3570"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2.1 Provide raw material acceptance standards, including indicators, limits, and acceptance requirements.</w:t>
            </w:r>
          </w:p>
          <w:p w:rsidR="0046739C" w:rsidRDefault="0046739C">
            <w:pPr>
              <w:pStyle w:val="1"/>
              <w:spacing w:line="0" w:lineRule="atLeast"/>
              <w:ind w:firstLineChars="0" w:firstLine="0"/>
              <w:rPr>
                <w:rFonts w:ascii="Times New Roman" w:eastAsia="SimSun" w:cs="Times New Roman"/>
                <w:sz w:val="24"/>
                <w:szCs w:val="24"/>
              </w:rPr>
            </w:pPr>
          </w:p>
        </w:tc>
        <w:tc>
          <w:tcPr>
            <w:tcW w:w="2310"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Raw material acceptance standards shall refer to the raw material standards submitted when the enterprise applies for health food </w:t>
            </w:r>
            <w:r>
              <w:rPr>
                <w:rFonts w:ascii="Times New Roman" w:eastAsia="SimSun"/>
                <w:sz w:val="24"/>
              </w:rPr>
              <w:t>approval certificates or health food filing certificates.</w:t>
            </w:r>
          </w:p>
        </w:tc>
        <w:tc>
          <w:tcPr>
            <w:tcW w:w="2114"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Conforming</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46739C">
        <w:trPr>
          <w:trHeight w:val="764"/>
        </w:trPr>
        <w:tc>
          <w:tcPr>
            <w:tcW w:w="1405"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2.2 Use of food raw materials of animal origin or plant origin</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cs="Times New Roman"/>
                <w:sz w:val="24"/>
              </w:rPr>
              <w:t> </w:t>
            </w:r>
          </w:p>
        </w:tc>
        <w:tc>
          <w:tcPr>
            <w:tcW w:w="3885"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xml:space="preserve">2.2.1 </w:t>
            </w:r>
            <w:r>
              <w:rPr>
                <w:rFonts w:ascii="Times New Roman" w:eastAsia="SimSun"/>
                <w:i/>
                <w:sz w:val="24"/>
              </w:rPr>
              <w:t>National Food Safety Standard - General Hygienic Regulation for Food Production</w:t>
            </w:r>
            <w:r>
              <w:rPr>
                <w:rFonts w:ascii="Times New Roman" w:eastAsia="SimSun"/>
                <w:sz w:val="24"/>
              </w:rPr>
              <w:t xml:space="preserve"> (GB14881-2013) (7.2.1 The supplier's licenses and product qualification certificates shall be checked for purchased food raw materials; food raw materials for which qualification certificates cannot be provided shall be inspected as per food safety standa</w:t>
            </w:r>
            <w:r>
              <w:rPr>
                <w:rFonts w:ascii="Times New Roman" w:eastAsia="SimSun"/>
                <w:sz w:val="24"/>
              </w:rPr>
              <w:t>rds.)</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2.2.2 </w:t>
            </w:r>
            <w:r>
              <w:rPr>
                <w:rFonts w:ascii="Times New Roman" w:eastAsia="SimSun"/>
                <w:i/>
                <w:sz w:val="24"/>
              </w:rPr>
              <w:t>National Food Safety Standard - Good Manufacture Practice for Health Food</w:t>
            </w:r>
            <w:r>
              <w:rPr>
                <w:rFonts w:ascii="Times New Roman" w:eastAsia="SimSun"/>
                <w:sz w:val="24"/>
              </w:rPr>
              <w:t xml:space="preserve"> (GB17405-1998) (6.2 Raw materials must meet food hygiene requirements. The variety, source, specification and quality of raw materials shall be consistent with the approv</w:t>
            </w:r>
            <w:r>
              <w:rPr>
                <w:rFonts w:ascii="Times New Roman" w:eastAsia="SimSun"/>
                <w:sz w:val="24"/>
              </w:rPr>
              <w:t>ed formula and product corporate standards.)</w:t>
            </w:r>
          </w:p>
        </w:tc>
        <w:tc>
          <w:tcPr>
            <w:tcW w:w="3570"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2.2.1 Provide the product ingredients in an order of addition, from largest to smallest, with the proportion indicated;</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2.2.2 If the main raw materials (how to define the proportion of the main raw material) con</w:t>
            </w:r>
            <w:r>
              <w:rPr>
                <w:rFonts w:ascii="Times New Roman" w:eastAsia="SimSun"/>
                <w:sz w:val="24"/>
              </w:rPr>
              <w:t>tain raw milk, vegetables (including cultivated edible fungus), meat and meat products, bee products, aquatic products, bird's nest, the country of origin of the ingredients shall be provided;</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2.2.3 If soybean is used as the main raw material, whether it i</w:t>
            </w:r>
            <w:r>
              <w:rPr>
                <w:rFonts w:ascii="Times New Roman" w:eastAsia="SimSun"/>
                <w:sz w:val="24"/>
              </w:rPr>
              <w:t>s genetically modified soybean shall be indicated.</w:t>
            </w:r>
          </w:p>
        </w:tc>
        <w:tc>
          <w:tcPr>
            <w:tcW w:w="2310"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1. Focus on the risk of epidemic diseases in food raw materials of animal and plant origin, and whether subsequent production processes can remove the risk if such materials come from the epidemic area;</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2.</w:t>
            </w:r>
            <w:r>
              <w:rPr>
                <w:rFonts w:ascii="Times New Roman" w:eastAsia="SimSun"/>
                <w:sz w:val="24"/>
              </w:rPr>
              <w:t xml:space="preserve"> If soybeans are used as raw materials, please pay attention to whether they are genetically modified, and soybeans and their processed products shall be treated with high temperature and other processes to eliminate anti-nutritional factors;</w:t>
            </w:r>
          </w:p>
        </w:tc>
        <w:tc>
          <w:tcPr>
            <w:tcW w:w="2114"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Conforming</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Non-conforming</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N/A</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c>
          <w:tcPr>
            <w:tcW w:w="721"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46739C">
        <w:trPr>
          <w:trHeight w:val="764"/>
        </w:trPr>
        <w:tc>
          <w:tcPr>
            <w:tcW w:w="1405" w:type="dxa"/>
          </w:tcPr>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2.3 Other raw materials (if food additives are used, they need to be labeled according to GB2760 types) (if applicable)</w:t>
            </w:r>
          </w:p>
        </w:tc>
        <w:tc>
          <w:tcPr>
            <w:tcW w:w="3885"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xml:space="preserve">1. </w:t>
            </w:r>
            <w:r>
              <w:rPr>
                <w:rFonts w:ascii="Times New Roman" w:eastAsia="SimSun"/>
                <w:i/>
                <w:sz w:val="24"/>
              </w:rPr>
              <w:t>National Food Safety Standard - Standard for the Use of Food Additives</w:t>
            </w:r>
            <w:r>
              <w:rPr>
                <w:rFonts w:ascii="Times New Roman" w:eastAsia="SimSun"/>
                <w:sz w:val="24"/>
              </w:rPr>
              <w:t xml:space="preserve"> (GB 2760-2014).</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 xml:space="preserve">National Food </w:t>
            </w:r>
            <w:r>
              <w:rPr>
                <w:rFonts w:ascii="Times New Roman" w:eastAsia="SimSun"/>
                <w:i/>
                <w:sz w:val="24"/>
              </w:rPr>
              <w:t>Safety Standard - General Hygienic Regulation for Food Production</w:t>
            </w:r>
            <w:r>
              <w:rPr>
                <w:rFonts w:ascii="Times New Roman" w:eastAsia="SimSun"/>
                <w:sz w:val="24"/>
              </w:rPr>
              <w:t xml:space="preserve"> (GB14881-2013) (7.3.1 In purchasing food additives, the supplier's license and product qualification certificate shall be inspected. Food additives must be accepted before use.)</w:t>
            </w:r>
          </w:p>
        </w:tc>
        <w:tc>
          <w:tcPr>
            <w:tcW w:w="3570"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xml:space="preserve">Provide the </w:t>
            </w:r>
            <w:r>
              <w:rPr>
                <w:rFonts w:ascii="Times New Roman" w:eastAsia="SimSun"/>
                <w:sz w:val="24"/>
              </w:rPr>
              <w:t xml:space="preserve">name of the additive used according to the types in the </w:t>
            </w:r>
            <w:r>
              <w:rPr>
                <w:rFonts w:ascii="Times New Roman" w:eastAsia="SimSun"/>
                <w:i/>
                <w:sz w:val="24"/>
              </w:rPr>
              <w:t>National Food Safety Standard - Standard for the Use of Food Additives</w:t>
            </w:r>
            <w:r>
              <w:rPr>
                <w:rFonts w:ascii="Times New Roman" w:eastAsia="SimSun"/>
                <w:sz w:val="24"/>
              </w:rPr>
              <w:t xml:space="preserve"> (GB 2760-2014).</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c>
          <w:tcPr>
            <w:tcW w:w="2310"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The enterprise shall provide a complete list of raw materials.</w:t>
            </w:r>
          </w:p>
        </w:tc>
        <w:tc>
          <w:tcPr>
            <w:tcW w:w="2114"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Conforming</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46739C">
        <w:trPr>
          <w:trHeight w:val="764"/>
        </w:trPr>
        <w:tc>
          <w:tcPr>
            <w:tcW w:w="1405" w:type="dxa"/>
          </w:tcPr>
          <w:p w:rsidR="0046739C" w:rsidRDefault="00BB6E59">
            <w:pPr>
              <w:pStyle w:val="101101"/>
              <w:spacing w:line="0" w:lineRule="atLeast"/>
              <w:ind w:firstLineChars="0" w:firstLine="0"/>
              <w:jc w:val="center"/>
              <w:rPr>
                <w:rFonts w:ascii="Times New Roman" w:hAnsi="Times New Roman" w:cs="Times New Roman"/>
                <w:sz w:val="24"/>
                <w:szCs w:val="24"/>
              </w:rPr>
            </w:pPr>
            <w:r>
              <w:rPr>
                <w:rFonts w:ascii="Times New Roman" w:hAnsi="Times New Roman"/>
                <w:sz w:val="24"/>
              </w:rPr>
              <w:t xml:space="preserve">2.4 </w:t>
            </w:r>
            <w:r>
              <w:rPr>
                <w:rFonts w:ascii="Times New Roman" w:hAnsi="Times New Roman"/>
                <w:sz w:val="24"/>
              </w:rPr>
              <w:t>Packaging materials</w:t>
            </w:r>
          </w:p>
        </w:tc>
        <w:tc>
          <w:tcPr>
            <w:tcW w:w="3885"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(7.4 Food containers, packaging materials, detergents and disinfectants that meet the hygiene standards and hygiene management measures shall be</w:t>
            </w:r>
            <w:r>
              <w:rPr>
                <w:rFonts w:ascii="Times New Roman" w:eastAsia="SimSun"/>
                <w:sz w:val="24"/>
              </w:rPr>
              <w:t xml:space="preserve"> used.</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2. The raw materials used, such as empty capsules and sugar coating, must meet hygienic requirements, and the use of non-food coloring is prohibited.</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3. All kinds of glass bottles (tubes), plastic bottles (tubes), bottle caps, bottle pads, bottle st</w:t>
            </w:r>
            <w:r>
              <w:rPr>
                <w:rFonts w:ascii="Times New Roman" w:eastAsia="SimSun"/>
                <w:sz w:val="24"/>
              </w:rPr>
              <w:t>oppers and aluminum-plastic packaging materials used for product packaging, which are directly in contact with inner packaging materials of products, shall be cleaned, dried and sterilized by appropriate methods, and shall be placed in a clean room for coo</w:t>
            </w:r>
            <w:r>
              <w:rPr>
                <w:rFonts w:ascii="Times New Roman" w:eastAsia="SimSun"/>
                <w:sz w:val="24"/>
              </w:rPr>
              <w:t>ling after sterilization. If the storage time exceeds the specified period, they shall be washed and sterilized again.)</w:t>
            </w:r>
          </w:p>
        </w:tc>
        <w:tc>
          <w:tcPr>
            <w:tcW w:w="3570"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Describe in detail the composition of the inner packaging material of the product and list the quality and safety standards of the inner</w:t>
            </w:r>
            <w:r>
              <w:rPr>
                <w:rFonts w:ascii="Times New Roman" w:eastAsia="SimSun"/>
                <w:sz w:val="24"/>
              </w:rPr>
              <w:t xml:space="preserve"> packaging material.</w:t>
            </w:r>
          </w:p>
        </w:tc>
        <w:tc>
          <w:tcPr>
            <w:tcW w:w="2310"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Focus on whether the enterprise has provided information on the safety certification of the inner packaging materials, such as the enterprise declaration.</w:t>
            </w:r>
          </w:p>
        </w:tc>
        <w:tc>
          <w:tcPr>
            <w:tcW w:w="2114" w:type="dxa"/>
          </w:tcPr>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Conforming</w:t>
            </w:r>
          </w:p>
          <w:p w:rsidR="0046739C" w:rsidRDefault="00BB6E59">
            <w:pPr>
              <w:widowControl/>
              <w:spacing w:line="0" w:lineRule="atLeast"/>
              <w:rPr>
                <w:rFonts w:ascii="Times New Roman" w:eastAsia="SimSun" w:cs="Times New Roman"/>
                <w:kern w:val="0"/>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cs="Times New Roman"/>
                <w:sz w:val="24"/>
              </w:rPr>
              <w:t> </w:t>
            </w:r>
          </w:p>
        </w:tc>
      </w:tr>
      <w:tr w:rsidR="0046739C">
        <w:trPr>
          <w:trHeight w:val="339"/>
        </w:trPr>
        <w:tc>
          <w:tcPr>
            <w:tcW w:w="14005" w:type="dxa"/>
            <w:gridSpan w:val="6"/>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b/>
                <w:sz w:val="24"/>
              </w:rPr>
              <w:t>3. Production Process Information</w:t>
            </w:r>
          </w:p>
        </w:tc>
      </w:tr>
      <w:tr w:rsidR="0046739C">
        <w:trPr>
          <w:trHeight w:val="1158"/>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3.1 </w:t>
            </w:r>
            <w:r>
              <w:rPr>
                <w:rFonts w:ascii="Times New Roman" w:eastAsia="SimSun"/>
                <w:sz w:val="24"/>
              </w:rPr>
              <w:t>Provide a detailed production process flow diagram, which shall contain process parameters and provide a process description.</w:t>
            </w:r>
          </w:p>
        </w:tc>
        <w:tc>
          <w:tcPr>
            <w:tcW w:w="3885" w:type="dxa"/>
          </w:tcPr>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i/>
                <w:sz w:val="24"/>
              </w:rPr>
              <w:t>National Food Safety Standard - Good Manufacture Practice for Health Food</w:t>
            </w:r>
            <w:r>
              <w:rPr>
                <w:rFonts w:ascii="Times New Roman" w:eastAsia="SimSun"/>
                <w:sz w:val="24"/>
              </w:rPr>
              <w:t xml:space="preserve"> (GB17405-1998) (7.1.1 The factory shall develop production process procedures and job operation procedures according to the requirements of this standard and in conjunction with the production process characteristics of its own products.</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The procedures sh</w:t>
            </w:r>
            <w:r>
              <w:rPr>
                <w:rFonts w:ascii="Times New Roman" w:eastAsia="SimSun"/>
                <w:sz w:val="24"/>
              </w:rPr>
              <w:t>all meet the process requirements of no loss, no destruction and no transformation of functional composition and no harmful intermediates in the processing of health food, and the content shall include the product formula, the preparation of each component</w:t>
            </w:r>
            <w:r>
              <w:rPr>
                <w:rFonts w:ascii="Times New Roman" w:eastAsia="SimSun"/>
                <w:sz w:val="24"/>
              </w:rPr>
              <w:t>, the main technical conditions of the finished product processing process and the quality and health monitoring points of key processes, such as temperature, pressure, time, pH value, quality index of intermediate products, etc. in the finished product pr</w:t>
            </w:r>
            <w:r>
              <w:rPr>
                <w:rFonts w:ascii="Times New Roman" w:eastAsia="SimSun"/>
                <w:sz w:val="24"/>
              </w:rPr>
              <w:t>ocessing process.</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The procedures shall set out specific operational requirements for each major production process and clarify the job responsibilities of each workshop, process and individual.)</w:t>
            </w:r>
          </w:p>
        </w:tc>
        <w:tc>
          <w:tcPr>
            <w:tcW w:w="357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Provide a detailed flow diagram, which shall contain process </w:t>
            </w:r>
            <w:r>
              <w:rPr>
                <w:rFonts w:ascii="Times New Roman" w:hAnsi="Times New Roman"/>
                <w:sz w:val="24"/>
              </w:rPr>
              <w:t>parameters and provide a process description.</w:t>
            </w:r>
          </w:p>
        </w:tc>
        <w:tc>
          <w:tcPr>
            <w:tcW w:w="231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Focus on whether the enterprise's production process meets the product definition.</w:t>
            </w:r>
          </w:p>
        </w:tc>
        <w:tc>
          <w:tcPr>
            <w:tcW w:w="2114"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1158"/>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3.2 Cleanliness level of the plant</w:t>
            </w:r>
          </w:p>
        </w:tc>
        <w:tc>
          <w:tcPr>
            <w:tcW w:w="3885" w:type="dxa"/>
          </w:tcPr>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 xml:space="preserve">National Food Safety Standard - Good Manufacture </w:t>
            </w:r>
            <w:r>
              <w:rPr>
                <w:rFonts w:ascii="Times New Roman" w:eastAsia="SimSun"/>
                <w:i/>
                <w:sz w:val="24"/>
              </w:rPr>
              <w:t>Practice for Health Food</w:t>
            </w:r>
            <w:r>
              <w:rPr>
                <w:rFonts w:ascii="Times New Roman" w:eastAsia="SimSun"/>
                <w:sz w:val="24"/>
              </w:rPr>
              <w:t xml:space="preserve"> (GB17405-1998) (5.2.2 Cleanliness levels must be divided according to production technology, hygiene and quality requirements. In principle, they are divided into general production areas and 100,000-level areas</w:t>
            </w:r>
            <w:r>
              <w:rPr>
                <w:rFonts w:ascii="Times New Roman" w:eastAsia="SimSun"/>
              </w:rPr>
              <w:t xml:space="preserve">. </w:t>
            </w:r>
            <w:r>
              <w:rPr>
                <w:rFonts w:ascii="Times New Roman" w:eastAsia="SimSun"/>
                <w:sz w:val="24"/>
              </w:rPr>
              <w:t>The cleanliness-le</w:t>
            </w:r>
            <w:r>
              <w:rPr>
                <w:rFonts w:ascii="Times New Roman" w:eastAsia="SimSun"/>
                <w:sz w:val="24"/>
              </w:rPr>
              <w:t>vel area shall be equipped with appropriate purified air conditioning facilities with filtration devices.</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The level and number of air changes are shown in Table 1</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2. The purification level must meet the needs of air purification for the production and proc</w:t>
            </w:r>
            <w:r>
              <w:rPr>
                <w:rFonts w:ascii="Times New Roman" w:eastAsia="SimSun"/>
                <w:sz w:val="24"/>
              </w:rPr>
              <w:t>essing of health food. The production of tablets, capsules, pills, and oral liquids that cannot be sterilized in the final container shall be in a 100,000-level clean plant.)</w:t>
            </w:r>
          </w:p>
        </w:tc>
        <w:tc>
          <w:tcPr>
            <w:tcW w:w="357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1. Provide the cleanliness level of the plant; 2. What methods are used to mainta</w:t>
            </w:r>
            <w:r>
              <w:rPr>
                <w:rFonts w:ascii="Times New Roman" w:hAnsi="Times New Roman"/>
                <w:sz w:val="24"/>
              </w:rPr>
              <w:t>in air cleanliness.</w:t>
            </w:r>
          </w:p>
        </w:tc>
        <w:tc>
          <w:tcPr>
            <w:tcW w:w="231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If using air filtration devices, pay attention to the replacement frequency of filters at all levels.</w:t>
            </w:r>
          </w:p>
        </w:tc>
        <w:tc>
          <w:tcPr>
            <w:tcW w:w="2114" w:type="dxa"/>
          </w:tcPr>
          <w:p w:rsidR="0046739C" w:rsidRDefault="0046739C">
            <w:pPr>
              <w:pStyle w:val="1"/>
              <w:spacing w:line="0" w:lineRule="atLeast"/>
              <w:ind w:firstLineChars="0" w:firstLine="0"/>
              <w:rPr>
                <w:rFonts w:ascii="Times New Roman" w:eastAsia="SimSun" w:cs="Times New Roman"/>
                <w:sz w:val="24"/>
                <w:szCs w:val="24"/>
              </w:rPr>
            </w:pP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1158"/>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3.3 Workshop layout and cross-contamination control</w:t>
            </w:r>
          </w:p>
        </w:tc>
        <w:tc>
          <w:tcPr>
            <w:tcW w:w="3885" w:type="dxa"/>
          </w:tcPr>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w:t>
            </w:r>
            <w:r>
              <w:rPr>
                <w:rFonts w:ascii="Times New Roman" w:eastAsia="SimSun"/>
                <w:sz w:val="24"/>
              </w:rPr>
              <w:t>B17405-1998) (7.3.2 Production operations shall be reasonably connected, quick and easy to transfer, and prevent cross-contamination. Separate processes shall be set up for raw material handling, intermediate product processing, cleaning and disinfection o</w:t>
            </w:r>
            <w:r>
              <w:rPr>
                <w:rFonts w:ascii="Times New Roman" w:eastAsia="SimSun"/>
                <w:sz w:val="24"/>
              </w:rPr>
              <w:t>f packaging materials and containers, packaging and inspection of finished products. The same workshop shall not produce different products at the same time; containers for different processes shall be clearly marked and shall not be mixed.</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2. Production o</w:t>
            </w:r>
            <w:r>
              <w:rPr>
                <w:rFonts w:ascii="Times New Roman" w:eastAsia="SimSun"/>
                <w:sz w:val="24"/>
              </w:rPr>
              <w:t>perators shall strictly follow the different requirements of general production areas and clean areas to improve personal hygiene. When there is a risk of product contamination due to a change of job, work clothes, shoes and hats must be changed and re-ste</w:t>
            </w:r>
            <w:r>
              <w:rPr>
                <w:rFonts w:ascii="Times New Roman" w:eastAsia="SimSun"/>
                <w:sz w:val="24"/>
              </w:rPr>
              <w:t>rilized. Work clothes, hats and shoes used in the clean area must be strictly cleaned and disinfected, changed daily, and only allowed to be worn in the clean area, not allowed to be taken out of the area.</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3. Raw and auxiliary materials entering the </w:t>
            </w:r>
            <w:r>
              <w:rPr>
                <w:rFonts w:ascii="Times New Roman" w:eastAsia="SimSun"/>
                <w:sz w:val="24"/>
              </w:rPr>
              <w:t>production area must enter through the material channel. All materials entering the clean plant and workshop must be removed from the outer packaging, and if the outer packaging cannot be removed, it must be scrubbed clean or provided with an indoor packag</w:t>
            </w:r>
            <w:r>
              <w:rPr>
                <w:rFonts w:ascii="Times New Roman" w:eastAsia="SimSun"/>
                <w:sz w:val="24"/>
              </w:rPr>
              <w:t>ing drum.</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4. Product pressing, encapsulation, dissolved medicine packaging, filling of liquid products shall be carried out in clean rooms, and the temperature and humidity of the operation room shall be controlled. Manual encapsulation shall be carried ou</w:t>
            </w:r>
            <w:r>
              <w:rPr>
                <w:rFonts w:ascii="Times New Roman" w:eastAsia="SimSun"/>
                <w:sz w:val="24"/>
              </w:rPr>
              <w:t>t in a perspex hood of the appropriate cleanliness level, with an operating table not lower than 0.7 m;</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5. The prepared materials shall be placed in a clean and sealed container, and shall enter the processes of filling, pressing or encapsulation in time, </w:t>
            </w:r>
            <w:r>
              <w:rPr>
                <w:rFonts w:ascii="Times New Roman" w:eastAsia="SimSun"/>
                <w:sz w:val="24"/>
              </w:rPr>
              <w:t>and the storage period shall not exceed the specified period.)</w:t>
            </w:r>
          </w:p>
        </w:tc>
        <w:tc>
          <w:tcPr>
            <w:tcW w:w="357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1. Workshop layout and personnel and logistics diagram;</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Cross-contamination control measures.</w:t>
            </w:r>
          </w:p>
        </w:tc>
        <w:tc>
          <w:tcPr>
            <w:tcW w:w="231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1. Pay attention to the setting of clean areas at all levels in the workshop;</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Whether there i</w:t>
            </w:r>
            <w:r>
              <w:rPr>
                <w:rFonts w:ascii="Times New Roman" w:hAnsi="Times New Roman"/>
                <w:sz w:val="24"/>
              </w:rPr>
              <w:t>s cross-contamination of personnel access and personal hygiene, logistics access, etc.;</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3. Whether the inner and outer package areas are effectively segregated.</w:t>
            </w:r>
          </w:p>
        </w:tc>
        <w:tc>
          <w:tcPr>
            <w:tcW w:w="2114" w:type="dxa"/>
          </w:tcPr>
          <w:p w:rsidR="0046739C" w:rsidRDefault="0046739C">
            <w:pPr>
              <w:pStyle w:val="1"/>
              <w:spacing w:line="0" w:lineRule="atLeast"/>
              <w:ind w:firstLineChars="0" w:firstLine="0"/>
              <w:rPr>
                <w:rFonts w:ascii="Times New Roman" w:eastAsia="SimSun" w:cs="Times New Roman"/>
                <w:sz w:val="24"/>
                <w:szCs w:val="24"/>
              </w:rPr>
            </w:pP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764"/>
        </w:trPr>
        <w:tc>
          <w:tcPr>
            <w:tcW w:w="1405"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3.4 Provide cleaning and disinfection procedures that cover the entire production line.</w:t>
            </w:r>
          </w:p>
        </w:tc>
        <w:tc>
          <w:tcPr>
            <w:tcW w:w="3885" w:type="dxa"/>
          </w:tcPr>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(7.3 Before dosing the product, check whether the dosing pots and containers and pipes are cleaned and meet the standards required by the process. Fermenters, vessels </w:t>
            </w:r>
            <w:r>
              <w:rPr>
                <w:rFonts w:ascii="Times New Roman" w:eastAsia="SimSun"/>
                <w:sz w:val="24"/>
              </w:rPr>
              <w:t>and pipelines used for production using the fermentation process must be thoroughly cleaned and disinfected before being used for production. Cleaning and disinfection records shall be kept for each shift.)</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Hygien</w:t>
            </w:r>
            <w:r>
              <w:rPr>
                <w:rFonts w:ascii="Times New Roman" w:eastAsia="SimSun"/>
                <w:i/>
                <w:sz w:val="24"/>
              </w:rPr>
              <w:t>ic Regulation for Food Production</w:t>
            </w:r>
            <w:r>
              <w:rPr>
                <w:rFonts w:ascii="Times New Roman" w:eastAsia="SimSun"/>
                <w:sz w:val="24"/>
              </w:rPr>
              <w:t xml:space="preserve"> (GB14881-2013) (5.1.3 Cleaning and disinfection facilities: Adequate special cleaning facilities for food, utensils and equipment shall be provided, if necessary, suitable disinfection facilities shall be provided. Measure</w:t>
            </w:r>
            <w:r>
              <w:rPr>
                <w:rFonts w:ascii="Times New Roman" w:eastAsia="SimSun"/>
                <w:sz w:val="24"/>
              </w:rPr>
              <w:t>s shall be taken to avoid cross-contamination from cleaning and disinfection utensils.</w:t>
            </w:r>
          </w:p>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8.2.1 Cleaning and disinfection</w:t>
            </w:r>
          </w:p>
        </w:tc>
        <w:tc>
          <w:tcPr>
            <w:tcW w:w="3570" w:type="dxa"/>
          </w:tcPr>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Provide the cleaning and disinfection procedures that cover the entire production line.</w:t>
            </w:r>
          </w:p>
        </w:tc>
        <w:tc>
          <w:tcPr>
            <w:tcW w:w="2310" w:type="dxa"/>
          </w:tcPr>
          <w:p w:rsidR="0046739C" w:rsidRDefault="00BB6E59">
            <w:pPr>
              <w:pStyle w:val="1"/>
              <w:spacing w:line="0" w:lineRule="atLeast"/>
              <w:ind w:firstLineChars="0" w:firstLine="0"/>
              <w:jc w:val="left"/>
              <w:rPr>
                <w:rFonts w:ascii="Times New Roman" w:eastAsia="SimSun" w:cs="Times New Roman"/>
                <w:sz w:val="24"/>
                <w:szCs w:val="24"/>
              </w:rPr>
            </w:pPr>
            <w:r>
              <w:rPr>
                <w:rFonts w:ascii="Times New Roman" w:eastAsia="SimSun"/>
                <w:sz w:val="24"/>
              </w:rPr>
              <w:t xml:space="preserve">Focus on cleaning and disinfection effectiveness </w:t>
            </w:r>
            <w:r>
              <w:rPr>
                <w:rFonts w:ascii="Times New Roman" w:eastAsia="SimSun"/>
                <w:sz w:val="24"/>
              </w:rPr>
              <w:t>verification.</w:t>
            </w:r>
          </w:p>
        </w:tc>
        <w:tc>
          <w:tcPr>
            <w:tcW w:w="2114"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764"/>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3.5 Provide a list of major equipment and production capacity.</w:t>
            </w:r>
          </w:p>
        </w:tc>
        <w:tc>
          <w:tcPr>
            <w:tcW w:w="388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(5.2.5 Plant, equipment layout and process flow shall be reasonably connected, well-constructed and able to meet the requirements of production process and quality and hygiene; the plant shall have sufficient space and places to accommodate</w:t>
            </w:r>
            <w:r>
              <w:rPr>
                <w:rFonts w:ascii="Times New Roman" w:eastAsia="SimSun"/>
                <w:sz w:val="24"/>
              </w:rPr>
              <w:t xml:space="preserve"> equipment and materials; storage rooms for intermediate products and products to be packaged shall comply with the production requirements.)</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National Food Safety Standard - General Hygienic Regulation for Food Production</w:t>
            </w:r>
            <w:r>
              <w:rPr>
                <w:rFonts w:ascii="Times New Roman" w:eastAsia="SimSun"/>
                <w:sz w:val="24"/>
              </w:rPr>
              <w:t xml:space="preserve"> (GB14881-2013) (5.2.1 Productio</w:t>
            </w:r>
            <w:r>
              <w:rPr>
                <w:rFonts w:ascii="Times New Roman" w:eastAsia="SimSun"/>
                <w:sz w:val="24"/>
              </w:rPr>
              <w:t>n equipment)</w:t>
            </w:r>
          </w:p>
        </w:tc>
        <w:tc>
          <w:tcPr>
            <w:tcW w:w="3570"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Provide the name, model, design processing capacity and pictures of key process equipment.</w:t>
            </w:r>
          </w:p>
        </w:tc>
        <w:tc>
          <w:tcPr>
            <w:tcW w:w="2310" w:type="dxa"/>
          </w:tcPr>
          <w:p w:rsidR="0046739C" w:rsidRDefault="00BB6E59">
            <w:pPr>
              <w:pStyle w:val="10410"/>
              <w:spacing w:line="0" w:lineRule="atLeast"/>
              <w:ind w:firstLineChars="0" w:firstLine="0"/>
              <w:rPr>
                <w:rFonts w:ascii="Times New Roman" w:eastAsia="SimSun" w:cs="Times New Roman"/>
                <w:sz w:val="24"/>
                <w:szCs w:val="24"/>
              </w:rPr>
            </w:pPr>
            <w:r>
              <w:rPr>
                <w:rFonts w:ascii="Times New Roman" w:eastAsia="SimSun"/>
                <w:sz w:val="24"/>
              </w:rPr>
              <w:t>1. The enterprise shall have processing equipment corresponding to the production process.</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2. Equipment, utensils and other surfaces in contact with foo</w:t>
            </w:r>
            <w:r>
              <w:rPr>
                <w:rFonts w:ascii="Times New Roman" w:eastAsia="SimSun"/>
                <w:sz w:val="24"/>
              </w:rPr>
              <w:t>d shall be made of smooth, non-absorbent, easy to clean and maintain and disinfect.</w:t>
            </w:r>
          </w:p>
        </w:tc>
        <w:tc>
          <w:tcPr>
            <w:tcW w:w="2114"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764"/>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3.6 Provide a hazard analysis worksheet and HACCP plan.</w:t>
            </w:r>
          </w:p>
        </w:tc>
        <w:tc>
          <w:tcPr>
            <w:tcW w:w="3885"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 xml:space="preserve">National Food Safety Standard - General Hygienic Regulation for Food </w:t>
            </w:r>
            <w:r>
              <w:rPr>
                <w:rFonts w:ascii="Times New Roman" w:hAnsi="Times New Roman"/>
                <w:i/>
                <w:sz w:val="24"/>
              </w:rPr>
              <w:t>Production</w:t>
            </w:r>
            <w:r>
              <w:rPr>
                <w:rFonts w:ascii="Times New Roman" w:hAnsi="Times New Roman"/>
                <w:sz w:val="24"/>
              </w:rPr>
              <w:t xml:space="preserve"> (GB14881-2013) (8.1.1 The key links of food safety in the production process shall be identified through hazard analysis methods and control measures for key links of food safety shall be established. In the area where the key link is located, r</w:t>
            </w:r>
            <w:r>
              <w:rPr>
                <w:rFonts w:ascii="Times New Roman" w:hAnsi="Times New Roman"/>
                <w:sz w:val="24"/>
              </w:rPr>
              <w:t>elevant documentation shall be available to implement control measures, such as dosage (feeding) tables and job operating procedures.</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Encourage the use of Hazard Analysis and Critical Control Point (HACCP) system to control food safety in the manufactur</w:t>
            </w:r>
            <w:r>
              <w:rPr>
                <w:rFonts w:ascii="Times New Roman" w:hAnsi="Times New Roman"/>
                <w:sz w:val="24"/>
              </w:rPr>
              <w:t>ing process.)</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3. </w:t>
            </w:r>
            <w:r>
              <w:rPr>
                <w:rFonts w:ascii="Times New Roman" w:hAnsi="Times New Roman"/>
                <w:i/>
                <w:sz w:val="24"/>
              </w:rPr>
              <w:t>National Food Safety Standard - Hazard Analysis and Critical Control Point (HACCP) System - General Requirements for Food Processing Plant</w:t>
            </w:r>
            <w:r>
              <w:rPr>
                <w:rFonts w:ascii="Times New Roman" w:hAnsi="Times New Roman"/>
                <w:sz w:val="24"/>
              </w:rPr>
              <w:t xml:space="preserve"> (GB/T 27341-2009).</w:t>
            </w:r>
          </w:p>
        </w:tc>
        <w:tc>
          <w:tcPr>
            <w:tcW w:w="3570" w:type="dxa"/>
          </w:tcPr>
          <w:p w:rsidR="0046739C" w:rsidRDefault="00BB6E59">
            <w:pPr>
              <w:pStyle w:val="10510"/>
              <w:snapToGrid w:val="0"/>
              <w:spacing w:line="0" w:lineRule="atLeast"/>
              <w:rPr>
                <w:rFonts w:ascii="Times New Roman" w:eastAsia="SimSun" w:cs="Times New Roman"/>
                <w:sz w:val="24"/>
                <w:szCs w:val="24"/>
              </w:rPr>
            </w:pPr>
            <w:r>
              <w:rPr>
                <w:rFonts w:ascii="Times New Roman" w:eastAsia="SimSun"/>
                <w:sz w:val="24"/>
              </w:rPr>
              <w:t>1. Production and processing hazard analysis sheets and HACCP plan.</w:t>
            </w:r>
          </w:p>
          <w:p w:rsidR="0046739C" w:rsidRDefault="00BB6E59">
            <w:pPr>
              <w:pStyle w:val="10510"/>
              <w:snapToGrid w:val="0"/>
              <w:spacing w:line="0" w:lineRule="atLeast"/>
              <w:rPr>
                <w:rFonts w:ascii="Times New Roman" w:eastAsia="SimSun" w:cs="Times New Roman"/>
                <w:sz w:val="24"/>
                <w:szCs w:val="24"/>
              </w:rPr>
            </w:pPr>
            <w:r>
              <w:rPr>
                <w:rFonts w:ascii="Times New Roman" w:eastAsia="SimSun"/>
                <w:sz w:val="24"/>
              </w:rPr>
              <w:t xml:space="preserve">2. Provide </w:t>
            </w:r>
            <w:r>
              <w:rPr>
                <w:rFonts w:ascii="Times New Roman" w:eastAsia="SimSun"/>
                <w:sz w:val="24"/>
              </w:rPr>
              <w:t>monitoring records of CCP points, and provide measures and records related to deviations from critical limits of CCP, if any.</w:t>
            </w:r>
          </w:p>
        </w:tc>
        <w:tc>
          <w:tcPr>
            <w:tcW w:w="2310" w:type="dxa"/>
          </w:tcPr>
          <w:p w:rsidR="0046739C" w:rsidRDefault="00BB6E59">
            <w:pPr>
              <w:pStyle w:val="10610"/>
              <w:spacing w:line="0" w:lineRule="atLeast"/>
              <w:rPr>
                <w:rFonts w:ascii="Times New Roman" w:eastAsia="SimSun" w:cs="Times New Roman"/>
                <w:sz w:val="24"/>
                <w:szCs w:val="24"/>
              </w:rPr>
            </w:pPr>
            <w:r>
              <w:rPr>
                <w:rFonts w:ascii="Times New Roman" w:eastAsia="SimSun"/>
                <w:sz w:val="24"/>
              </w:rPr>
              <w:t>1. Focus on the setting and critical limits of CCP points and the implementation of correction and validation.</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Whether the HACC</w:t>
            </w:r>
            <w:r>
              <w:rPr>
                <w:rFonts w:ascii="Times New Roman" w:hAnsi="Times New Roman"/>
                <w:sz w:val="24"/>
              </w:rPr>
              <w:t>P plan includes all products applied for registration.</w:t>
            </w:r>
          </w:p>
        </w:tc>
        <w:tc>
          <w:tcPr>
            <w:tcW w:w="2114"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764"/>
        </w:trPr>
        <w:tc>
          <w:tcPr>
            <w:tcW w:w="1405" w:type="dxa"/>
          </w:tcPr>
          <w:p w:rsidR="0046739C" w:rsidRDefault="00BB6E59">
            <w:pPr>
              <w:pStyle w:val="HTMLVorformatiert"/>
              <w:shd w:val="clear" w:color="auto" w:fill="FFFFFF"/>
              <w:spacing w:line="0" w:lineRule="atLeast"/>
              <w:rPr>
                <w:rFonts w:ascii="Times New Roman" w:cs="Times New Roman"/>
              </w:rPr>
            </w:pPr>
            <w:r>
              <w:rPr>
                <w:rFonts w:ascii="Times New Roman"/>
              </w:rPr>
              <w:t>3.7 Product sterilization</w:t>
            </w:r>
          </w:p>
        </w:tc>
        <w:tc>
          <w:tcPr>
            <w:tcW w:w="3885" w:type="dxa"/>
          </w:tcPr>
          <w:p w:rsidR="0046739C" w:rsidRDefault="00BB6E5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i/>
                <w:sz w:val="24"/>
              </w:rPr>
              <w:t>National Food Safety Standard - Good Manufacture Practice for Health Food</w:t>
            </w:r>
            <w:r>
              <w:rPr>
                <w:rFonts w:ascii="Times New Roman" w:hAnsi="Times New Roman"/>
                <w:sz w:val="24"/>
              </w:rPr>
              <w:t xml:space="preserve"> (GB17405-1998) (7.5 Product sterilization.</w:t>
            </w:r>
          </w:p>
          <w:p w:rsidR="0046739C" w:rsidRDefault="00BB6E5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t>Effective sterilization or disinfection equipment and methods shall be used for the sterilization of all types of products. For products that need to be sterilized but cannot be autoclaved, fine filtration, microwave and irradiation can be used according t</w:t>
            </w:r>
            <w:r>
              <w:rPr>
                <w:rFonts w:ascii="Times New Roman" w:hAnsi="Times New Roman"/>
                <w:sz w:val="24"/>
              </w:rPr>
              <w:t>o different processes and food hygiene requirements to ensure the sterilization effect. At the time of using irradiation sterilization methods, the irradiation absorption volume and time shall be strictly controlled in accordance with the provisions of the</w:t>
            </w:r>
            <w:r>
              <w:rPr>
                <w:rFonts w:ascii="Times New Roman" w:hAnsi="Times New Roman"/>
                <w:sz w:val="24"/>
              </w:rPr>
              <w:t xml:space="preserve"> </w:t>
            </w:r>
            <w:r>
              <w:rPr>
                <w:rFonts w:ascii="Times New Roman" w:hAnsi="Times New Roman"/>
                <w:i/>
                <w:sz w:val="24"/>
              </w:rPr>
              <w:t>Measures for the Hygienic Management of Irradiated Foods</w:t>
            </w:r>
            <w:r>
              <w:rPr>
                <w:rFonts w:ascii="Times New Roman" w:hAnsi="Times New Roman"/>
                <w:sz w:val="24"/>
              </w:rPr>
              <w:t>.</w:t>
            </w:r>
          </w:p>
          <w:p w:rsidR="0046739C" w:rsidRDefault="00BB6E5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t>Reliability verification shall be carried out regularly for temperature uniformity and repeatability in sterilization or disinfection devices, and periodic calibration shall be conducted for temper</w:t>
            </w:r>
            <w:r>
              <w:rPr>
                <w:rFonts w:ascii="Times New Roman" w:hAnsi="Times New Roman"/>
                <w:sz w:val="24"/>
              </w:rPr>
              <w:t>ature, pressure and other testing instruments. Indicators such as temperature, pressure and time shall be accurately recorded during sterilization or disinfection operations.)</w:t>
            </w:r>
          </w:p>
        </w:tc>
        <w:tc>
          <w:tcPr>
            <w:tcW w:w="3570" w:type="dxa"/>
          </w:tcPr>
          <w:p w:rsidR="0046739C" w:rsidRDefault="00BB6E5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t>1. If thermal sterilization process is adopted, it is necessary to provide proof</w:t>
            </w:r>
            <w:r>
              <w:rPr>
                <w:rFonts w:ascii="Times New Roman" w:hAnsi="Times New Roman"/>
                <w:sz w:val="24"/>
              </w:rPr>
              <w:t xml:space="preserve"> materials of thermal sterilization effectiveness and specific sterilization temperature and time requirements;</w:t>
            </w:r>
          </w:p>
          <w:p w:rsidR="0046739C" w:rsidRDefault="00BB6E5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t>2. For products that need to be sterilized and cannot be autoclaved, provide the sterilization method used;</w:t>
            </w:r>
          </w:p>
          <w:p w:rsidR="0046739C" w:rsidRDefault="00BB6E59">
            <w:pPr>
              <w:pStyle w:val="1011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0" w:firstLine="0"/>
              <w:jc w:val="left"/>
              <w:rPr>
                <w:rFonts w:ascii="Times New Roman" w:hAnsi="Times New Roman" w:cs="Times New Roman"/>
                <w:sz w:val="24"/>
                <w:szCs w:val="24"/>
              </w:rPr>
            </w:pPr>
            <w:r>
              <w:rPr>
                <w:rFonts w:ascii="Times New Roman" w:hAnsi="Times New Roman"/>
                <w:sz w:val="24"/>
              </w:rPr>
              <w:t>3. If using irradiation sterilizatio</w:t>
            </w:r>
            <w:r>
              <w:rPr>
                <w:rFonts w:ascii="Times New Roman" w:hAnsi="Times New Roman"/>
                <w:sz w:val="24"/>
              </w:rPr>
              <w:t>n, please provide the irradiation absorption volume and time.</w:t>
            </w:r>
          </w:p>
        </w:tc>
        <w:tc>
          <w:tcPr>
            <w:tcW w:w="2310" w:type="dxa"/>
          </w:tcPr>
          <w:p w:rsidR="0046739C" w:rsidRDefault="00BB6E59">
            <w:pPr>
              <w:pStyle w:val="10610"/>
              <w:spacing w:line="0" w:lineRule="atLeast"/>
              <w:rPr>
                <w:rFonts w:ascii="Times New Roman" w:eastAsia="SimSun" w:cs="Times New Roman"/>
                <w:sz w:val="24"/>
                <w:szCs w:val="24"/>
              </w:rPr>
            </w:pPr>
            <w:r>
              <w:rPr>
                <w:rFonts w:ascii="Times New Roman" w:eastAsia="SimSun"/>
                <w:sz w:val="24"/>
              </w:rPr>
              <w:t>Focus on the effectiveness of sterilization methods.</w:t>
            </w:r>
          </w:p>
        </w:tc>
        <w:tc>
          <w:tcPr>
            <w:tcW w:w="2114" w:type="dxa"/>
          </w:tcPr>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Conforming</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Non-conforming</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354"/>
        </w:trPr>
        <w:tc>
          <w:tcPr>
            <w:tcW w:w="14005" w:type="dxa"/>
            <w:gridSpan w:val="6"/>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b/>
                <w:sz w:val="24"/>
              </w:rPr>
              <w:t>4. Product Quality and Safety Control System</w:t>
            </w:r>
          </w:p>
        </w:tc>
      </w:tr>
      <w:tr w:rsidR="0046739C">
        <w:trPr>
          <w:trHeight w:val="764"/>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4.1 Product online control inspection</w:t>
            </w:r>
          </w:p>
        </w:tc>
        <w:tc>
          <w:tcPr>
            <w:tcW w:w="3885"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i/>
                <w:sz w:val="24"/>
              </w:rPr>
              <w:t xml:space="preserve">National Food </w:t>
            </w:r>
            <w:r>
              <w:rPr>
                <w:rFonts w:ascii="Times New Roman" w:hAnsi="Times New Roman"/>
                <w:i/>
                <w:sz w:val="24"/>
              </w:rPr>
              <w:t>Safety Standard - Good Manufacture Practice for Health Food</w:t>
            </w:r>
            <w:r>
              <w:rPr>
                <w:rFonts w:ascii="Times New Roman" w:hAnsi="Times New Roman"/>
                <w:sz w:val="24"/>
              </w:rPr>
              <w:t xml:space="preserve"> (GB17405-1998) (9.5.1 Identify key control points for quality and hygiene during processing, and monitor the following links at least and make records.)</w:t>
            </w:r>
          </w:p>
        </w:tc>
        <w:tc>
          <w:tcPr>
            <w:tcW w:w="3570"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A complete product online inspection plan s</w:t>
            </w:r>
            <w:r>
              <w:rPr>
                <w:rFonts w:ascii="Times New Roman" w:eastAsia="SimSun"/>
                <w:sz w:val="24"/>
              </w:rPr>
              <w:t>hall be submitted, which shall specify the inspection content, parameters, frequency and verification frequency by process.</w:t>
            </w:r>
          </w:p>
        </w:tc>
        <w:tc>
          <w:tcPr>
            <w:tcW w:w="2310"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1. Whether the online control measures effectively monitor the hazards analyzed by the enterprise;</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2. Focus on the consistency of on</w:t>
            </w:r>
            <w:r>
              <w:rPr>
                <w:rFonts w:ascii="Times New Roman" w:eastAsia="SimSun"/>
                <w:sz w:val="24"/>
              </w:rPr>
              <w:t>line checkpoint parameters and frequency with the HACCP plan and process flow.</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3. If there are metal detectors, thermometers, etc., pay attention to the calibration and maintenance records.</w:t>
            </w:r>
          </w:p>
        </w:tc>
        <w:tc>
          <w:tcPr>
            <w:tcW w:w="2114"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764"/>
        </w:trPr>
        <w:tc>
          <w:tcPr>
            <w:tcW w:w="1405" w:type="dxa"/>
          </w:tcPr>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4.2 Testing and release of </w:t>
            </w:r>
            <w:r>
              <w:rPr>
                <w:rFonts w:ascii="Times New Roman" w:hAnsi="Times New Roman"/>
                <w:sz w:val="24"/>
              </w:rPr>
              <w:t>final products</w:t>
            </w:r>
          </w:p>
        </w:tc>
        <w:tc>
          <w:tcPr>
            <w:tcW w:w="3885" w:type="dxa"/>
          </w:tcPr>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National Food Safety Standard - Good Manufacture Practice for Health Food</w:t>
            </w:r>
            <w:r>
              <w:rPr>
                <w:rFonts w:ascii="Times New Roman" w:hAnsi="Times New Roman"/>
                <w:sz w:val="24"/>
              </w:rPr>
              <w:t xml:space="preserve"> (GB17405-1998)</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The finished products must be inspected batch by batch for sensory, hygiene and quality indicators, and those that are qualified shall not leave the </w:t>
            </w:r>
            <w:r>
              <w:rPr>
                <w:rFonts w:ascii="Times New Roman" w:hAnsi="Times New Roman"/>
                <w:sz w:val="24"/>
              </w:rPr>
              <w:t>factory.</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It shall have the ability to detect the main efficacy factors or efficacy components of products, and test them according to the efficacy factors or main efficacy components of products produced by each feeding. Those unqualified products are not </w:t>
            </w:r>
            <w:r>
              <w:rPr>
                <w:rFonts w:ascii="Times New Roman" w:hAnsi="Times New Roman"/>
                <w:sz w:val="24"/>
              </w:rPr>
              <w:t>allowed to leave the factory.</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Each batch of products shall have retained samples, which shall be stored in dedicated sample storage (or area), classified by species and batch number, and clearly marked.</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Product stability tests shall be performed periodical</w:t>
            </w:r>
            <w:r>
              <w:rPr>
                <w:rFonts w:ascii="Times New Roman" w:hAnsi="Times New Roman"/>
                <w:sz w:val="24"/>
              </w:rPr>
              <w:t>ly.</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The packaging materials, markings and instructions of the products must be inspected and those that are unqualified must not be used.</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Inspect and manage the storage conditions of finished product warehouse and do not use warehouses that do not meet the</w:t>
            </w:r>
            <w:r>
              <w:rPr>
                <w:rFonts w:ascii="Times New Roman" w:hAnsi="Times New Roman"/>
                <w:sz w:val="24"/>
              </w:rPr>
              <w:t xml:space="preserve"> storage conditions.)</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2.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(9.1 The inspection for raw materials and products shall be carried out by self-inspection or entrusted to a food inspection agency with</w:t>
            </w:r>
            <w:r>
              <w:rPr>
                <w:rFonts w:ascii="Times New Roman" w:hAnsi="Times New Roman"/>
                <w:sz w:val="24"/>
              </w:rPr>
              <w:t xml:space="preserve"> appropriate qualifications, and a food factory inspection record system shall be established.</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Inspection room and inspection ability suitable for the inspected items are necessary for self-inspection; Inspection shall be carried out by qualified inspector</w:t>
            </w:r>
            <w:r>
              <w:rPr>
                <w:rFonts w:ascii="Times New Roman" w:hAnsi="Times New Roman"/>
                <w:sz w:val="24"/>
              </w:rPr>
              <w:t>s according to the prescribed inspection methods; Inspection instruments and equipment shall be verified on schedule.</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The inspection room shall have a sound management system and the original records and test reports of each test shall be properly maintain</w:t>
            </w:r>
            <w:r>
              <w:rPr>
                <w:rFonts w:ascii="Times New Roman" w:hAnsi="Times New Roman"/>
                <w:sz w:val="24"/>
              </w:rPr>
              <w:t>ed. A product sample retention system shall be established and samples shall be retained in a timely manner.</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The product characteristics, process characteristics, raw material control and other factors shall be taken into account to reasonably determine th</w:t>
            </w:r>
            <w:r>
              <w:rPr>
                <w:rFonts w:ascii="Times New Roman" w:hAnsi="Times New Roman"/>
                <w:sz w:val="24"/>
              </w:rPr>
              <w:t>e inspection items and inspection frequency to effectively verify the control measures in the production process. Net content, sensory requirements, and other inspection items susceptible to changes in the production process shall be tested more frequently</w:t>
            </w:r>
            <w:r>
              <w:rPr>
                <w:rFonts w:ascii="Times New Roman" w:hAnsi="Times New Roman"/>
                <w:sz w:val="24"/>
              </w:rPr>
              <w:t xml:space="preserve"> than other test items.</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For the same variety of products with different packaging, the inspection items not affected by the packaging specifications and packaging form can be inspected together.) </w:t>
            </w:r>
          </w:p>
        </w:tc>
        <w:tc>
          <w:tcPr>
            <w:tcW w:w="3570" w:type="dxa"/>
          </w:tcPr>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Provide test plans, test standards and release requirements</w:t>
            </w:r>
            <w:r>
              <w:rPr>
                <w:rFonts w:ascii="Times New Roman" w:hAnsi="Times New Roman"/>
                <w:sz w:val="24"/>
              </w:rPr>
              <w:t xml:space="preserve"> for final product release.</w:t>
            </w:r>
          </w:p>
        </w:tc>
        <w:tc>
          <w:tcPr>
            <w:tcW w:w="2310" w:type="dxa"/>
          </w:tcPr>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xml:space="preserve">The final product inspection report shall cover the limit requirements of the </w:t>
            </w:r>
            <w:r>
              <w:rPr>
                <w:rFonts w:ascii="Times New Roman" w:hAnsi="Times New Roman"/>
                <w:i/>
                <w:sz w:val="24"/>
              </w:rPr>
              <w:t>National Food Safety Standard - Health Food</w:t>
            </w:r>
            <w:r>
              <w:rPr>
                <w:rFonts w:ascii="Times New Roman" w:hAnsi="Times New Roman"/>
                <w:sz w:val="24"/>
              </w:rPr>
              <w:t xml:space="preserve"> (GB 16740-2014).</w:t>
            </w:r>
          </w:p>
        </w:tc>
        <w:tc>
          <w:tcPr>
            <w:tcW w:w="2114" w:type="dxa"/>
          </w:tcPr>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Conforming</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Non-conforming</w:t>
            </w:r>
          </w:p>
          <w:p w:rsidR="0046739C" w:rsidRDefault="00BB6E59">
            <w:pPr>
              <w:pStyle w:val="101101"/>
              <w:spacing w:line="0" w:lineRule="atLeast"/>
              <w:ind w:firstLineChars="0" w:firstLine="0"/>
              <w:rPr>
                <w:rFonts w:ascii="Times New Roman" w:hAnsi="Times New Roman" w:cs="Times New Roman"/>
                <w:sz w:val="24"/>
                <w:szCs w:val="24"/>
              </w:rPr>
            </w:pPr>
            <w:r>
              <w:rPr>
                <w:rFonts w:ascii="Times New Roman" w:hAnsi="Times New Roman"/>
                <w:sz w:val="24"/>
              </w:rPr>
              <w:t>□ N/A</w:t>
            </w:r>
          </w:p>
        </w:tc>
        <w:tc>
          <w:tcPr>
            <w:tcW w:w="721" w:type="dxa"/>
          </w:tcPr>
          <w:p w:rsidR="0046739C" w:rsidRDefault="0046739C">
            <w:pPr>
              <w:pStyle w:val="101101"/>
              <w:spacing w:line="0" w:lineRule="atLeast"/>
              <w:ind w:firstLineChars="0" w:firstLine="0"/>
              <w:rPr>
                <w:rFonts w:ascii="Times New Roman" w:hAnsi="Times New Roman" w:cs="Times New Roman"/>
                <w:sz w:val="24"/>
                <w:szCs w:val="24"/>
              </w:rPr>
            </w:pPr>
          </w:p>
        </w:tc>
      </w:tr>
      <w:tr w:rsidR="0046739C">
        <w:trPr>
          <w:trHeight w:val="764"/>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4.3 Basis or data for confirming the shelf life of </w:t>
            </w:r>
            <w:r>
              <w:rPr>
                <w:rFonts w:ascii="Times New Roman" w:eastAsia="SimSun"/>
                <w:sz w:val="24"/>
              </w:rPr>
              <w:t>the product</w:t>
            </w:r>
          </w:p>
        </w:tc>
        <w:tc>
          <w:tcPr>
            <w:tcW w:w="388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1. </w:t>
            </w:r>
            <w:r>
              <w:rPr>
                <w:rFonts w:ascii="Times New Roman" w:eastAsia="SimSun"/>
                <w:i/>
                <w:sz w:val="24"/>
              </w:rPr>
              <w:t>National Food Safety Standard - Good Manufacture Practice for Health Food</w:t>
            </w:r>
            <w:r>
              <w:rPr>
                <w:rFonts w:ascii="Times New Roman" w:eastAsia="SimSun"/>
                <w:sz w:val="24"/>
              </w:rPr>
              <w:t xml:space="preserve"> (GB17405-1998) (9.6.4 Product stability experiments shall be conducted regularly.)</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xml:space="preserve">2. </w:t>
            </w:r>
            <w:r>
              <w:rPr>
                <w:rFonts w:ascii="Times New Roman" w:eastAsia="SimSun"/>
                <w:i/>
                <w:sz w:val="24"/>
              </w:rPr>
              <w:t xml:space="preserve">National Food Safety Standard - General Standard for the Labeling of Prepackaged </w:t>
            </w:r>
            <w:r>
              <w:rPr>
                <w:rFonts w:ascii="Times New Roman" w:eastAsia="SimSun"/>
                <w:i/>
                <w:sz w:val="24"/>
              </w:rPr>
              <w:t>Foods</w:t>
            </w:r>
            <w:r>
              <w:rPr>
                <w:rFonts w:ascii="Times New Roman" w:eastAsia="SimSun"/>
                <w:sz w:val="24"/>
              </w:rPr>
              <w:t xml:space="preserve"> (GB 7718-2011) (2.5 Shelf life: refers to the period during which a prepackaged food maintains its quality under the storage conditions specified on the label. During this period, the product is fully suitable for sale and maintains the characteristi</w:t>
            </w:r>
            <w:r>
              <w:rPr>
                <w:rFonts w:ascii="Times New Roman" w:eastAsia="SimSun"/>
                <w:sz w:val="24"/>
              </w:rPr>
              <w:t>c qualities not required to be stated or already stated in the label.)</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Refer to the</w:t>
            </w:r>
            <w:r>
              <w:rPr>
                <w:rFonts w:ascii="Times New Roman" w:eastAsia="SimSun"/>
                <w:i/>
                <w:sz w:val="24"/>
              </w:rPr>
              <w:t xml:space="preserve"> T/CNFIA001-2017 General Guide to Food Shelf Life</w:t>
            </w:r>
          </w:p>
        </w:tc>
        <w:tc>
          <w:tcPr>
            <w:tcW w:w="357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Provide the basis or data for confirming the shelf life of the product</w:t>
            </w:r>
          </w:p>
        </w:tc>
        <w:tc>
          <w:tcPr>
            <w:tcW w:w="231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1. Whether the basis for confirming the shelf life i</w:t>
            </w:r>
            <w:r>
              <w:rPr>
                <w:rFonts w:ascii="Times New Roman" w:hAnsi="Times New Roman"/>
                <w:sz w:val="24"/>
              </w:rPr>
              <w:t>s consistent with the actual label;</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Whether the test conditions of shelf life correspond to actual storage and transportation.</w:t>
            </w:r>
          </w:p>
        </w:tc>
        <w:tc>
          <w:tcPr>
            <w:tcW w:w="2114"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764"/>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4.4 Protection requirements for product shipment to sales process</w:t>
            </w:r>
          </w:p>
        </w:tc>
        <w:tc>
          <w:tcPr>
            <w:tcW w:w="3885"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1. </w:t>
            </w:r>
            <w:r>
              <w:rPr>
                <w:rFonts w:ascii="Times New Roman" w:hAnsi="Times New Roman"/>
                <w:i/>
                <w:sz w:val="24"/>
              </w:rPr>
              <w:t xml:space="preserve">National Food </w:t>
            </w:r>
            <w:r>
              <w:rPr>
                <w:rFonts w:ascii="Times New Roman" w:hAnsi="Times New Roman"/>
                <w:i/>
                <w:sz w:val="24"/>
              </w:rPr>
              <w:t>Safety Standard - Good Manufacture Practice for Health Food</w:t>
            </w:r>
            <w:r>
              <w:rPr>
                <w:rFonts w:ascii="Times New Roman" w:hAnsi="Times New Roman"/>
                <w:sz w:val="24"/>
              </w:rPr>
              <w:t xml:space="preserve"> (GB17405-1998) (8.1 General hygiene requirements for storage and transport shall meet the requirements of the </w:t>
            </w:r>
            <w:r>
              <w:rPr>
                <w:rFonts w:ascii="Times New Roman" w:hAnsi="Times New Roman"/>
                <w:i/>
                <w:sz w:val="24"/>
              </w:rPr>
              <w:t>National Food Safety Standard - General Hygienic Regulation for Food Production</w:t>
            </w:r>
            <w:r>
              <w:rPr>
                <w:rFonts w:ascii="Times New Roman" w:hAnsi="Times New Roman"/>
                <w:sz w:val="24"/>
              </w:rPr>
              <w:t xml:space="preserve"> (GB148</w:t>
            </w:r>
            <w:r>
              <w:rPr>
                <w:rFonts w:ascii="Times New Roman" w:hAnsi="Times New Roman"/>
                <w:sz w:val="24"/>
              </w:rPr>
              <w:t>81-2013).</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2. The storage method and environment of finished products shall be away from light and rain, and the temperature and humidity shall be controlled in the appropriate range, with impact and vibration avoided.</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3 Products containing biologically </w:t>
            </w:r>
            <w:r>
              <w:rPr>
                <w:rFonts w:ascii="Times New Roman" w:hAnsi="Times New Roman"/>
                <w:sz w:val="24"/>
              </w:rPr>
              <w:t>active substances shall be stored and transported in a cold chain using appropriate refrigeration measures.</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4. Health food stored at non-normal temperatures (such as some microecological health foods) shall be stored and transported at the required tempera</w:t>
            </w:r>
            <w:r>
              <w:rPr>
                <w:rFonts w:ascii="Times New Roman" w:hAnsi="Times New Roman"/>
                <w:sz w:val="24"/>
              </w:rPr>
              <w:t>ture according to the different characteristics of the products.</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5. The warehouse shall have a system of receiving and shipping inspections. The principle of "first produced products shall be sold first" shall be implemented when finished products are deli</w:t>
            </w:r>
            <w:r>
              <w:rPr>
                <w:rFonts w:ascii="Times New Roman" w:hAnsi="Times New Roman"/>
                <w:sz w:val="24"/>
              </w:rPr>
              <w:t>vered.</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6. There shall be stock records for incoming finished products; there shall be shipping records for outgoing finished goods, including at least batch number, shipping time, place, object, quantity, etc., so that problems can be found and products ca</w:t>
            </w:r>
            <w:r>
              <w:rPr>
                <w:rFonts w:ascii="Times New Roman" w:hAnsi="Times New Roman"/>
                <w:sz w:val="24"/>
              </w:rPr>
              <w:t>n be recovered in time.)</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7. </w:t>
            </w:r>
            <w:r>
              <w:rPr>
                <w:rFonts w:ascii="Times New Roman" w:hAnsi="Times New Roman"/>
                <w:i/>
                <w:sz w:val="24"/>
              </w:rPr>
              <w:t>National Food Safety Standard - General Hygienic Regulation for Food Production</w:t>
            </w:r>
            <w:r>
              <w:rPr>
                <w:rFonts w:ascii="Times New Roman" w:hAnsi="Times New Roman"/>
                <w:sz w:val="24"/>
              </w:rPr>
              <w:t xml:space="preserve"> (GB14881-2013) (10. Storage and transportation of food)</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 xml:space="preserve">8. GB/T 27320 </w:t>
            </w:r>
            <w:r>
              <w:rPr>
                <w:rFonts w:ascii="Times New Roman" w:hAnsi="Times New Roman"/>
                <w:i/>
                <w:sz w:val="24"/>
              </w:rPr>
              <w:t xml:space="preserve">Food Defense Plan and Guidelines for Its Application - Food Processing </w:t>
            </w:r>
            <w:r>
              <w:rPr>
                <w:rFonts w:ascii="Times New Roman" w:hAnsi="Times New Roman"/>
                <w:i/>
                <w:sz w:val="24"/>
              </w:rPr>
              <w:t>Establishments</w:t>
            </w:r>
            <w:r>
              <w:rPr>
                <w:rFonts w:ascii="Times New Roman" w:hAnsi="Times New Roman"/>
                <w:sz w:val="24"/>
              </w:rPr>
              <w:t>;</w:t>
            </w:r>
          </w:p>
        </w:tc>
        <w:tc>
          <w:tcPr>
            <w:tcW w:w="357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Protection requirements for product shipment to sales process;</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An exercise plan for a mock recall can be submitted.</w:t>
            </w:r>
          </w:p>
        </w:tc>
        <w:tc>
          <w:tcPr>
            <w:tcW w:w="231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Concern about the integrity of the product traceability chain;</w:t>
            </w:r>
          </w:p>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sz w:val="24"/>
              </w:rPr>
              <w:t>Whether the traceability code is operable.</w:t>
            </w:r>
          </w:p>
        </w:tc>
        <w:tc>
          <w:tcPr>
            <w:tcW w:w="2114"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Non</w:t>
            </w:r>
            <w:r>
              <w:rPr>
                <w:rFonts w:ascii="Times New Roman" w:eastAsia="SimSun"/>
                <w:sz w:val="24"/>
              </w:rPr>
              <w:t>-conforming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 N/A</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403"/>
        </w:trPr>
        <w:tc>
          <w:tcPr>
            <w:tcW w:w="14005" w:type="dxa"/>
            <w:gridSpan w:val="6"/>
          </w:tcPr>
          <w:p w:rsidR="0046739C" w:rsidRDefault="00BB6E59">
            <w:pPr>
              <w:pStyle w:val="1"/>
              <w:spacing w:line="0" w:lineRule="atLeast"/>
              <w:ind w:firstLineChars="0" w:firstLine="0"/>
              <w:jc w:val="center"/>
              <w:rPr>
                <w:rFonts w:ascii="Times New Roman" w:eastAsia="SimSun" w:cs="Times New Roman"/>
                <w:sz w:val="24"/>
                <w:szCs w:val="24"/>
              </w:rPr>
            </w:pPr>
            <w:r>
              <w:rPr>
                <w:rFonts w:ascii="Times New Roman" w:eastAsia="SimSun"/>
                <w:b/>
                <w:color w:val="000000"/>
                <w:sz w:val="24"/>
                <w:shd w:val="clear" w:color="auto" w:fill="FFFFFF"/>
              </w:rPr>
              <w:t>5. Declaration</w:t>
            </w:r>
          </w:p>
        </w:tc>
      </w:tr>
      <w:tr w:rsidR="0046739C">
        <w:trPr>
          <w:trHeight w:val="764"/>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5.1 Declaration by enterprise</w:t>
            </w:r>
          </w:p>
        </w:tc>
        <w:tc>
          <w:tcPr>
            <w:tcW w:w="3885"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Articles 8 and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570" w:type="dxa"/>
          </w:tcPr>
          <w:p w:rsidR="0046739C" w:rsidRDefault="0046739C">
            <w:pPr>
              <w:pStyle w:val="10110"/>
              <w:spacing w:line="0" w:lineRule="atLeast"/>
              <w:ind w:firstLineChars="0" w:firstLine="0"/>
              <w:rPr>
                <w:rFonts w:ascii="Times New Roman" w:hAnsi="Times New Roman" w:cs="Times New Roman"/>
                <w:sz w:val="24"/>
                <w:szCs w:val="24"/>
              </w:rPr>
            </w:pPr>
          </w:p>
        </w:tc>
        <w:tc>
          <w:tcPr>
            <w:tcW w:w="231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1. It shall be signed by the legal person and stamped with official seal of the enterprise.</w:t>
            </w:r>
          </w:p>
        </w:tc>
        <w:tc>
          <w:tcPr>
            <w:tcW w:w="2114" w:type="dxa"/>
          </w:tcPr>
          <w:p w:rsidR="0046739C" w:rsidRDefault="00BB6E59">
            <w:pPr>
              <w:widowControl/>
              <w:spacing w:line="0" w:lineRule="atLeast"/>
              <w:rPr>
                <w:rFonts w:ascii="Times New Roman" w:eastAsia="SimSun" w:cs="SimSun"/>
                <w:kern w:val="0"/>
                <w:sz w:val="24"/>
                <w:szCs w:val="24"/>
              </w:rPr>
            </w:pPr>
            <w:r>
              <w:rPr>
                <w:rFonts w:ascii="Times New Roman" w:eastAsia="SimSun"/>
                <w:sz w:val="24"/>
              </w:rPr>
              <w:t>□ Conforming</w:t>
            </w:r>
          </w:p>
          <w:p w:rsidR="0046739C" w:rsidRDefault="00BB6E59">
            <w:pPr>
              <w:widowControl/>
              <w:spacing w:line="0" w:lineRule="atLeast"/>
              <w:rPr>
                <w:rFonts w:ascii="Times New Roman" w:eastAsia="SimSun" w:cs="SimSun"/>
                <w:kern w:val="0"/>
                <w:sz w:val="24"/>
                <w:szCs w:val="24"/>
              </w:rPr>
            </w:pPr>
            <w:r>
              <w:rPr>
                <w:rFonts w:ascii="Times New Roman" w:eastAsia="SimSun"/>
                <w:color w:val="000000"/>
                <w:sz w:val="24"/>
              </w:rPr>
              <w:t>□</w:t>
            </w:r>
            <w:r>
              <w:rPr>
                <w:rFonts w:ascii="Times New Roman" w:eastAsia="SimSun" w:hint="eastAsia"/>
                <w:color w:val="000000"/>
                <w:sz w:val="24"/>
              </w:rPr>
              <w:t xml:space="preserve"> </w:t>
            </w:r>
            <w:r>
              <w:rPr>
                <w:rFonts w:ascii="Times New Roman" w:eastAsia="SimSun"/>
                <w:color w:val="000000"/>
                <w:sz w:val="24"/>
              </w:rPr>
              <w:t>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cs="SimSun" w:hint="eastAsia"/>
                <w:sz w:val="24"/>
              </w:rPr>
              <w:t> </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r w:rsidR="0046739C">
        <w:trPr>
          <w:trHeight w:val="764"/>
        </w:trPr>
        <w:tc>
          <w:tcPr>
            <w:tcW w:w="1405" w:type="dxa"/>
          </w:tcPr>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sz w:val="24"/>
              </w:rPr>
              <w:t>5.2 Confirmation by competent authority</w:t>
            </w:r>
          </w:p>
        </w:tc>
        <w:tc>
          <w:tcPr>
            <w:tcW w:w="3885"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Articles 8 and 9 of the </w:t>
            </w:r>
            <w:r>
              <w:rPr>
                <w:rFonts w:ascii="Times New Roman" w:hAnsi="Times New Roman"/>
                <w:i/>
                <w:color w:val="000000"/>
                <w:sz w:val="24"/>
              </w:rPr>
              <w:t>Regulations of the People's Republic of China on the Registration and Administration of Overseas Manufacturers of Imported Food</w:t>
            </w:r>
            <w:r>
              <w:rPr>
                <w:rFonts w:ascii="Times New Roman" w:hAnsi="Times New Roman"/>
                <w:color w:val="000000"/>
                <w:sz w:val="24"/>
              </w:rPr>
              <w:t xml:space="preserve"> (Decree No. 248 of General Administration of Customs of China).</w:t>
            </w:r>
          </w:p>
        </w:tc>
        <w:tc>
          <w:tcPr>
            <w:tcW w:w="3570" w:type="dxa"/>
          </w:tcPr>
          <w:p w:rsidR="0046739C" w:rsidRDefault="0046739C">
            <w:pPr>
              <w:pStyle w:val="10110"/>
              <w:spacing w:line="0" w:lineRule="atLeast"/>
              <w:ind w:firstLineChars="0" w:firstLine="0"/>
              <w:rPr>
                <w:rFonts w:ascii="Times New Roman" w:hAnsi="Times New Roman" w:cs="Times New Roman"/>
                <w:sz w:val="24"/>
                <w:szCs w:val="24"/>
              </w:rPr>
            </w:pPr>
          </w:p>
        </w:tc>
        <w:tc>
          <w:tcPr>
            <w:tcW w:w="2310" w:type="dxa"/>
          </w:tcPr>
          <w:p w:rsidR="0046739C" w:rsidRDefault="00BB6E59">
            <w:pPr>
              <w:pStyle w:val="10110"/>
              <w:spacing w:line="0" w:lineRule="atLeast"/>
              <w:ind w:firstLineChars="0" w:firstLine="0"/>
              <w:rPr>
                <w:rFonts w:ascii="Times New Roman" w:hAnsi="Times New Roman" w:cs="Times New Roman"/>
                <w:sz w:val="24"/>
                <w:szCs w:val="24"/>
              </w:rPr>
            </w:pPr>
            <w:r>
              <w:rPr>
                <w:rFonts w:ascii="Times New Roman" w:hAnsi="Times New Roman"/>
                <w:color w:val="000000"/>
                <w:sz w:val="24"/>
              </w:rPr>
              <w:t xml:space="preserve">1. It shall be signed by an officer </w:t>
            </w:r>
            <w:r>
              <w:rPr>
                <w:rFonts w:ascii="Times New Roman" w:hAnsi="Times New Roman"/>
                <w:color w:val="000000"/>
                <w:sz w:val="24"/>
              </w:rPr>
              <w:t>of the competent authority and stamped with the seal of the competent authority.</w:t>
            </w:r>
          </w:p>
        </w:tc>
        <w:tc>
          <w:tcPr>
            <w:tcW w:w="2114" w:type="dxa"/>
          </w:tcPr>
          <w:p w:rsidR="0046739C" w:rsidRDefault="00BB6E59">
            <w:pPr>
              <w:widowControl/>
              <w:spacing w:line="0" w:lineRule="atLeast"/>
              <w:rPr>
                <w:rFonts w:ascii="Times New Roman" w:eastAsia="SimSun" w:cs="SimSun"/>
                <w:kern w:val="0"/>
                <w:sz w:val="24"/>
                <w:szCs w:val="24"/>
              </w:rPr>
            </w:pPr>
            <w:r>
              <w:rPr>
                <w:rFonts w:ascii="Times New Roman" w:eastAsia="SimSun"/>
                <w:sz w:val="24"/>
              </w:rPr>
              <w:t>□ Conforming</w:t>
            </w:r>
          </w:p>
          <w:p w:rsidR="0046739C" w:rsidRDefault="00BB6E59">
            <w:pPr>
              <w:widowControl/>
              <w:spacing w:line="0" w:lineRule="atLeast"/>
              <w:rPr>
                <w:rFonts w:ascii="Times New Roman" w:eastAsia="SimSun" w:cs="SimSun"/>
                <w:kern w:val="0"/>
                <w:sz w:val="24"/>
                <w:szCs w:val="24"/>
              </w:rPr>
            </w:pPr>
            <w:r>
              <w:rPr>
                <w:rFonts w:ascii="Times New Roman" w:eastAsia="SimSun"/>
                <w:color w:val="000000"/>
                <w:sz w:val="24"/>
              </w:rPr>
              <w:t>□ Non-conforming</w:t>
            </w:r>
          </w:p>
          <w:p w:rsidR="0046739C" w:rsidRDefault="00BB6E59">
            <w:pPr>
              <w:pStyle w:val="1"/>
              <w:spacing w:line="0" w:lineRule="atLeast"/>
              <w:ind w:firstLineChars="0" w:firstLine="0"/>
              <w:rPr>
                <w:rFonts w:ascii="Times New Roman" w:eastAsia="SimSun" w:cs="Times New Roman"/>
                <w:sz w:val="24"/>
                <w:szCs w:val="24"/>
              </w:rPr>
            </w:pPr>
            <w:r>
              <w:rPr>
                <w:rFonts w:ascii="Times New Roman" w:eastAsia="SimSun" w:cs="SimSun" w:hint="eastAsia"/>
                <w:sz w:val="24"/>
              </w:rPr>
              <w:t> </w:t>
            </w:r>
          </w:p>
        </w:tc>
        <w:tc>
          <w:tcPr>
            <w:tcW w:w="721" w:type="dxa"/>
          </w:tcPr>
          <w:p w:rsidR="0046739C" w:rsidRDefault="0046739C">
            <w:pPr>
              <w:pStyle w:val="1"/>
              <w:spacing w:line="0" w:lineRule="atLeast"/>
              <w:ind w:firstLineChars="0" w:firstLine="0"/>
              <w:rPr>
                <w:rFonts w:ascii="Times New Roman" w:eastAsia="SimSun" w:cs="Times New Roman"/>
                <w:sz w:val="24"/>
                <w:szCs w:val="24"/>
              </w:rPr>
            </w:pPr>
          </w:p>
        </w:tc>
      </w:tr>
    </w:tbl>
    <w:p w:rsidR="0046739C" w:rsidRDefault="0046739C">
      <w:pPr>
        <w:widowControl/>
        <w:spacing w:line="260" w:lineRule="exact"/>
        <w:jc w:val="center"/>
        <w:rPr>
          <w:rFonts w:ascii="Times New Roman" w:eastAsia="SimSun" w:cs="Times New Roman"/>
          <w:color w:val="000000"/>
          <w:kern w:val="0"/>
          <w:sz w:val="27"/>
          <w:szCs w:val="27"/>
        </w:rPr>
      </w:pPr>
    </w:p>
    <w:sectPr w:rsidR="0046739C">
      <w:pgSz w:w="16840" w:h="11907" w:orient="landscape"/>
      <w:pgMar w:top="1797" w:right="1440" w:bottom="179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小标宋_GBK">
    <w:altName w:val="Microsoft YaHei"/>
    <w:charset w:val="86"/>
    <w:family w:val="script"/>
    <w:pitch w:val="default"/>
    <w:sig w:usb0="00000000" w:usb1="00000000" w:usb2="00000010" w:usb3="00000000" w:csb0="00040000" w:csb1="00000000"/>
  </w:font>
  <w:font w:name="DengXian">
    <w:altName w:val="SimSun"/>
    <w:panose1 w:val="02010600030101010101"/>
    <w:charset w:val="86"/>
    <w:family w:val="auto"/>
    <w:pitch w:val="default"/>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imHei">
    <w:altName w:val="Arial Unicode MS"/>
    <w:panose1 w:val="02010600030101010101"/>
    <w:charset w:val="50"/>
    <w:family w:val="auto"/>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A8"/>
    <w:rsid w:val="00034447"/>
    <w:rsid w:val="001072A8"/>
    <w:rsid w:val="00314110"/>
    <w:rsid w:val="003948CE"/>
    <w:rsid w:val="0046739C"/>
    <w:rsid w:val="0053425F"/>
    <w:rsid w:val="005C6D91"/>
    <w:rsid w:val="006D1C01"/>
    <w:rsid w:val="007825A8"/>
    <w:rsid w:val="009E55AC"/>
    <w:rsid w:val="00A957A3"/>
    <w:rsid w:val="00AC76AA"/>
    <w:rsid w:val="00BB6E59"/>
    <w:rsid w:val="00C26086"/>
    <w:rsid w:val="00C6059E"/>
    <w:rsid w:val="00F2009F"/>
    <w:rsid w:val="2B902D5E"/>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78AD5C91-DFF7-46D4-BD8A-DEB67D20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小标宋_GBK"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iPriority="0"/>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jc w:val="both"/>
    </w:pPr>
    <w:rPr>
      <w:rFonts w:ascii="DengXian" w:eastAsia="DengXian" w:cs="Arial"/>
      <w:kern w:val="2"/>
      <w:sz w:val="21"/>
      <w:szCs w:val="22"/>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5">
    <w:name w:val="index 5"/>
    <w:basedOn w:val="Standard"/>
    <w:next w:val="Standard"/>
    <w:pPr>
      <w:ind w:leftChars="800" w:left="800"/>
    </w:pPr>
  </w:style>
  <w:style w:type="paragraph" w:styleId="Kommentartext">
    <w:name w:val="annotation text"/>
    <w:basedOn w:val="Standard"/>
    <w:link w:val="KommentartextZchn"/>
    <w:uiPriority w:val="99"/>
    <w:semiHidden/>
    <w:unhideWhenUsed/>
    <w:qFormat/>
    <w:pPr>
      <w:jc w:val="left"/>
    </w:pPr>
  </w:style>
  <w:style w:type="paragraph" w:styleId="Sprechblasentext">
    <w:name w:val="Balloon Text"/>
    <w:basedOn w:val="Standard"/>
    <w:rPr>
      <w:sz w:val="18"/>
      <w:szCs w:val="18"/>
    </w:rPr>
  </w:style>
  <w:style w:type="paragraph" w:styleId="Fuzeile">
    <w:name w:val="footer"/>
    <w:basedOn w:val="Standard"/>
    <w:pPr>
      <w:tabs>
        <w:tab w:val="center" w:pos="4153"/>
        <w:tab w:val="right" w:pos="8306"/>
      </w:tabs>
      <w:snapToGrid w:val="0"/>
      <w:jc w:val="left"/>
    </w:pPr>
    <w:rPr>
      <w:sz w:val="18"/>
      <w:szCs w:val="18"/>
    </w:rPr>
  </w:style>
  <w:style w:type="paragraph" w:styleId="Kopfzeile">
    <w:name w:val="header"/>
    <w:basedOn w:val="Standard"/>
    <w:pPr>
      <w:pBdr>
        <w:bottom w:val="single" w:sz="6" w:space="1" w:color="auto"/>
      </w:pBdr>
      <w:tabs>
        <w:tab w:val="center" w:pos="4153"/>
        <w:tab w:val="right" w:pos="8306"/>
      </w:tabs>
      <w:snapToGrid w:val="0"/>
      <w:jc w:val="center"/>
    </w:pPr>
    <w:rPr>
      <w:sz w:val="18"/>
      <w:szCs w:val="18"/>
    </w:rPr>
  </w:style>
  <w:style w:type="paragraph" w:styleId="HTMLVorformatiert">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cs="SimSun"/>
      <w:kern w:val="0"/>
      <w:sz w:val="24"/>
      <w:szCs w:val="24"/>
    </w:rPr>
  </w:style>
  <w:style w:type="paragraph" w:styleId="StandardWeb">
    <w:name w:val="Normal (Web)"/>
    <w:basedOn w:val="Standard"/>
    <w:qFormat/>
    <w:pPr>
      <w:widowControl/>
      <w:spacing w:before="100" w:beforeAutospacing="1" w:after="100" w:afterAutospacing="1"/>
      <w:jc w:val="left"/>
    </w:pPr>
    <w:rPr>
      <w:rFonts w:ascii="SimSun" w:eastAsia="SimSun" w:cs="SimSun"/>
      <w:kern w:val="0"/>
      <w:sz w:val="24"/>
      <w:szCs w:val="24"/>
    </w:rPr>
  </w:style>
  <w:style w:type="character" w:styleId="Kommentarzeichen">
    <w:name w:val="annotation reference"/>
    <w:uiPriority w:val="99"/>
    <w:semiHidden/>
    <w:unhideWhenUsed/>
    <w:qFormat/>
    <w:rPr>
      <w:sz w:val="21"/>
      <w:szCs w:val="21"/>
    </w:rPr>
  </w:style>
  <w:style w:type="paragraph" w:customStyle="1" w:styleId="s3">
    <w:name w:val="s3"/>
    <w:basedOn w:val="Standard"/>
    <w:pPr>
      <w:widowControl/>
      <w:spacing w:before="100" w:beforeAutospacing="1" w:after="100" w:afterAutospacing="1"/>
      <w:jc w:val="left"/>
    </w:pPr>
    <w:rPr>
      <w:rFonts w:ascii="SimSun" w:eastAsia="SimSun" w:cs="SimSun"/>
      <w:kern w:val="0"/>
      <w:sz w:val="24"/>
      <w:szCs w:val="24"/>
    </w:rPr>
  </w:style>
  <w:style w:type="character" w:customStyle="1" w:styleId="bumpedfont15">
    <w:name w:val="bumpedfont15"/>
    <w:basedOn w:val="Absatz-Standardschriftart"/>
  </w:style>
  <w:style w:type="paragraph" w:customStyle="1" w:styleId="s5">
    <w:name w:val="s5"/>
    <w:basedOn w:val="Standard"/>
    <w:pPr>
      <w:widowControl/>
      <w:spacing w:before="100" w:beforeAutospacing="1" w:after="100" w:afterAutospacing="1"/>
      <w:jc w:val="left"/>
    </w:pPr>
    <w:rPr>
      <w:rFonts w:ascii="SimSun" w:eastAsia="SimSun" w:cs="SimSun"/>
      <w:kern w:val="0"/>
      <w:sz w:val="24"/>
      <w:szCs w:val="24"/>
    </w:rPr>
  </w:style>
  <w:style w:type="character" w:customStyle="1" w:styleId="s4">
    <w:name w:val="s4"/>
    <w:basedOn w:val="Absatz-Standardschriftart"/>
  </w:style>
  <w:style w:type="paragraph" w:customStyle="1" w:styleId="s6">
    <w:name w:val="s6"/>
    <w:basedOn w:val="Standard"/>
    <w:pPr>
      <w:widowControl/>
      <w:spacing w:before="100" w:beforeAutospacing="1" w:after="100" w:afterAutospacing="1"/>
      <w:jc w:val="left"/>
    </w:pPr>
    <w:rPr>
      <w:rFonts w:ascii="SimSun" w:eastAsia="SimSun" w:cs="SimSun"/>
      <w:kern w:val="0"/>
      <w:sz w:val="24"/>
      <w:szCs w:val="24"/>
    </w:rPr>
  </w:style>
  <w:style w:type="paragraph" w:customStyle="1" w:styleId="s9">
    <w:name w:val="s9"/>
    <w:basedOn w:val="Standard"/>
    <w:pPr>
      <w:widowControl/>
      <w:spacing w:before="100" w:beforeAutospacing="1" w:after="100" w:afterAutospacing="1"/>
      <w:jc w:val="left"/>
    </w:pPr>
    <w:rPr>
      <w:rFonts w:ascii="SimSun" w:eastAsia="SimSun" w:cs="SimSun"/>
      <w:kern w:val="0"/>
      <w:sz w:val="24"/>
      <w:szCs w:val="24"/>
    </w:rPr>
  </w:style>
  <w:style w:type="character" w:customStyle="1" w:styleId="s8">
    <w:name w:val="s8"/>
    <w:basedOn w:val="Absatz-Standardschriftart"/>
  </w:style>
  <w:style w:type="paragraph" w:customStyle="1" w:styleId="s10">
    <w:name w:val="s10"/>
    <w:basedOn w:val="Standard"/>
    <w:pPr>
      <w:widowControl/>
      <w:spacing w:before="100" w:beforeAutospacing="1" w:after="100" w:afterAutospacing="1"/>
      <w:jc w:val="left"/>
    </w:pPr>
    <w:rPr>
      <w:rFonts w:ascii="SimSun" w:eastAsia="SimSun" w:cs="SimSun"/>
      <w:kern w:val="0"/>
      <w:sz w:val="24"/>
      <w:szCs w:val="24"/>
    </w:rPr>
  </w:style>
  <w:style w:type="character" w:customStyle="1" w:styleId="s11">
    <w:name w:val="s11"/>
    <w:basedOn w:val="Absatz-Standardschriftart"/>
  </w:style>
  <w:style w:type="character" w:customStyle="1" w:styleId="apple-converted-space">
    <w:name w:val="apple-converted-space"/>
    <w:basedOn w:val="Absatz-Standardschriftart"/>
  </w:style>
  <w:style w:type="paragraph" w:customStyle="1" w:styleId="s13">
    <w:name w:val="s13"/>
    <w:basedOn w:val="Standard"/>
    <w:pPr>
      <w:widowControl/>
      <w:spacing w:before="100" w:beforeAutospacing="1" w:after="100" w:afterAutospacing="1"/>
      <w:jc w:val="left"/>
    </w:pPr>
    <w:rPr>
      <w:rFonts w:ascii="SimSun" w:eastAsia="SimSun" w:cs="SimSun"/>
      <w:kern w:val="0"/>
      <w:sz w:val="24"/>
      <w:szCs w:val="24"/>
    </w:rPr>
  </w:style>
  <w:style w:type="paragraph" w:customStyle="1" w:styleId="s16">
    <w:name w:val="s16"/>
    <w:basedOn w:val="Standard"/>
    <w:pPr>
      <w:widowControl/>
      <w:spacing w:before="100" w:beforeAutospacing="1" w:after="100" w:afterAutospacing="1"/>
      <w:jc w:val="left"/>
    </w:pPr>
    <w:rPr>
      <w:rFonts w:ascii="SimSun" w:eastAsia="SimSun" w:cs="SimSun"/>
      <w:kern w:val="0"/>
      <w:sz w:val="24"/>
      <w:szCs w:val="24"/>
    </w:rPr>
  </w:style>
  <w:style w:type="paragraph" w:customStyle="1" w:styleId="s17">
    <w:name w:val="s17"/>
    <w:basedOn w:val="Standard"/>
    <w:pPr>
      <w:widowControl/>
      <w:spacing w:before="100" w:beforeAutospacing="1" w:after="100" w:afterAutospacing="1"/>
      <w:jc w:val="left"/>
    </w:pPr>
    <w:rPr>
      <w:rFonts w:ascii="SimSun" w:eastAsia="SimSun" w:cs="SimSun"/>
      <w:kern w:val="0"/>
      <w:sz w:val="24"/>
      <w:szCs w:val="24"/>
    </w:rPr>
  </w:style>
  <w:style w:type="paragraph" w:customStyle="1" w:styleId="s19">
    <w:name w:val="s19"/>
    <w:basedOn w:val="Standard"/>
    <w:pPr>
      <w:widowControl/>
      <w:spacing w:before="100" w:beforeAutospacing="1" w:after="100" w:afterAutospacing="1"/>
      <w:jc w:val="left"/>
    </w:pPr>
    <w:rPr>
      <w:rFonts w:ascii="SimSun" w:eastAsia="SimSun" w:cs="SimSun"/>
      <w:kern w:val="0"/>
      <w:sz w:val="24"/>
      <w:szCs w:val="24"/>
    </w:rPr>
  </w:style>
  <w:style w:type="paragraph" w:customStyle="1" w:styleId="s20">
    <w:name w:val="s20"/>
    <w:basedOn w:val="Standard"/>
    <w:pPr>
      <w:widowControl/>
      <w:spacing w:before="100" w:beforeAutospacing="1" w:after="100" w:afterAutospacing="1"/>
      <w:jc w:val="left"/>
    </w:pPr>
    <w:rPr>
      <w:rFonts w:ascii="SimSun" w:eastAsia="SimSun" w:cs="SimSun"/>
      <w:kern w:val="0"/>
      <w:sz w:val="24"/>
      <w:szCs w:val="24"/>
    </w:rPr>
  </w:style>
  <w:style w:type="paragraph" w:customStyle="1" w:styleId="s21">
    <w:name w:val="s21"/>
    <w:basedOn w:val="Standard"/>
    <w:pPr>
      <w:widowControl/>
      <w:spacing w:before="100" w:beforeAutospacing="1" w:after="100" w:afterAutospacing="1"/>
      <w:jc w:val="left"/>
    </w:pPr>
    <w:rPr>
      <w:rFonts w:ascii="SimSun" w:eastAsia="SimSun" w:cs="SimSun"/>
      <w:kern w:val="0"/>
      <w:sz w:val="24"/>
      <w:szCs w:val="24"/>
    </w:rPr>
  </w:style>
  <w:style w:type="paragraph" w:customStyle="1" w:styleId="s22">
    <w:name w:val="s22"/>
    <w:basedOn w:val="Standard"/>
    <w:pPr>
      <w:widowControl/>
      <w:spacing w:before="100" w:beforeAutospacing="1" w:after="100" w:afterAutospacing="1"/>
      <w:jc w:val="left"/>
    </w:pPr>
    <w:rPr>
      <w:rFonts w:ascii="SimSun" w:eastAsia="SimSun" w:cs="SimSun"/>
      <w:kern w:val="0"/>
      <w:sz w:val="24"/>
      <w:szCs w:val="24"/>
    </w:rPr>
  </w:style>
  <w:style w:type="paragraph" w:customStyle="1" w:styleId="s23">
    <w:name w:val="s23"/>
    <w:basedOn w:val="Standard"/>
    <w:pPr>
      <w:widowControl/>
      <w:spacing w:before="100" w:beforeAutospacing="1" w:after="100" w:afterAutospacing="1"/>
      <w:jc w:val="left"/>
    </w:pPr>
    <w:rPr>
      <w:rFonts w:ascii="SimSun" w:eastAsia="SimSun" w:cs="SimSun"/>
      <w:kern w:val="0"/>
      <w:sz w:val="24"/>
      <w:szCs w:val="24"/>
    </w:rPr>
  </w:style>
  <w:style w:type="paragraph" w:customStyle="1" w:styleId="s24">
    <w:name w:val="s24"/>
    <w:basedOn w:val="Standard"/>
    <w:pPr>
      <w:widowControl/>
      <w:spacing w:before="100" w:beforeAutospacing="1" w:after="100" w:afterAutospacing="1"/>
      <w:jc w:val="left"/>
    </w:pPr>
    <w:rPr>
      <w:rFonts w:ascii="SimSun" w:eastAsia="SimSun" w:cs="SimSun"/>
      <w:kern w:val="0"/>
      <w:sz w:val="24"/>
      <w:szCs w:val="24"/>
    </w:rPr>
  </w:style>
  <w:style w:type="paragraph" w:customStyle="1" w:styleId="s25">
    <w:name w:val="s25"/>
    <w:basedOn w:val="Standard"/>
    <w:pPr>
      <w:widowControl/>
      <w:spacing w:before="100" w:beforeAutospacing="1" w:after="100" w:afterAutospacing="1"/>
      <w:jc w:val="left"/>
    </w:pPr>
    <w:rPr>
      <w:rFonts w:ascii="SimSun" w:eastAsia="SimSun" w:cs="SimSun"/>
      <w:kern w:val="0"/>
      <w:sz w:val="24"/>
      <w:szCs w:val="24"/>
    </w:rPr>
  </w:style>
  <w:style w:type="paragraph" w:customStyle="1" w:styleId="s26">
    <w:name w:val="s26"/>
    <w:basedOn w:val="Standard"/>
    <w:pPr>
      <w:widowControl/>
      <w:spacing w:before="100" w:beforeAutospacing="1" w:after="100" w:afterAutospacing="1"/>
      <w:jc w:val="left"/>
    </w:pPr>
    <w:rPr>
      <w:rFonts w:ascii="SimSun" w:eastAsia="SimSun" w:cs="SimSun"/>
      <w:kern w:val="0"/>
      <w:sz w:val="24"/>
      <w:szCs w:val="24"/>
    </w:rPr>
  </w:style>
  <w:style w:type="paragraph" w:customStyle="1" w:styleId="s28">
    <w:name w:val="s28"/>
    <w:basedOn w:val="Standard"/>
    <w:pPr>
      <w:widowControl/>
      <w:spacing w:before="100" w:beforeAutospacing="1" w:after="100" w:afterAutospacing="1"/>
      <w:jc w:val="left"/>
    </w:pPr>
    <w:rPr>
      <w:rFonts w:ascii="SimSun" w:eastAsia="SimSun" w:cs="SimSun"/>
      <w:kern w:val="0"/>
      <w:sz w:val="24"/>
      <w:szCs w:val="24"/>
    </w:rPr>
  </w:style>
  <w:style w:type="paragraph" w:customStyle="1" w:styleId="s30">
    <w:name w:val="s30"/>
    <w:basedOn w:val="Standard"/>
    <w:pPr>
      <w:widowControl/>
      <w:spacing w:before="100" w:beforeAutospacing="1" w:after="100" w:afterAutospacing="1"/>
      <w:jc w:val="left"/>
    </w:pPr>
    <w:rPr>
      <w:rFonts w:ascii="SimSun" w:eastAsia="SimSun" w:cs="SimSun"/>
      <w:kern w:val="0"/>
      <w:sz w:val="24"/>
      <w:szCs w:val="24"/>
    </w:rPr>
  </w:style>
  <w:style w:type="paragraph" w:customStyle="1" w:styleId="s31">
    <w:name w:val="s31"/>
    <w:basedOn w:val="Standard"/>
    <w:pPr>
      <w:widowControl/>
      <w:spacing w:before="100" w:beforeAutospacing="1" w:after="100" w:afterAutospacing="1"/>
      <w:jc w:val="left"/>
    </w:pPr>
    <w:rPr>
      <w:rFonts w:ascii="SimSun" w:eastAsia="SimSun" w:cs="SimSun"/>
      <w:kern w:val="0"/>
      <w:sz w:val="24"/>
      <w:szCs w:val="24"/>
    </w:rPr>
  </w:style>
  <w:style w:type="paragraph" w:customStyle="1" w:styleId="s32">
    <w:name w:val="s32"/>
    <w:basedOn w:val="Standard"/>
    <w:qFormat/>
    <w:pPr>
      <w:widowControl/>
      <w:spacing w:before="100" w:beforeAutospacing="1" w:after="100" w:afterAutospacing="1"/>
      <w:jc w:val="left"/>
    </w:pPr>
    <w:rPr>
      <w:rFonts w:ascii="SimSun" w:eastAsia="SimSun" w:cs="SimSun"/>
      <w:kern w:val="0"/>
      <w:sz w:val="24"/>
      <w:szCs w:val="24"/>
    </w:rPr>
  </w:style>
  <w:style w:type="paragraph" w:customStyle="1" w:styleId="s35">
    <w:name w:val="s35"/>
    <w:basedOn w:val="Standard"/>
    <w:qFormat/>
    <w:pPr>
      <w:widowControl/>
      <w:spacing w:before="100" w:beforeAutospacing="1" w:after="100" w:afterAutospacing="1"/>
      <w:jc w:val="left"/>
    </w:pPr>
    <w:rPr>
      <w:rFonts w:ascii="SimSun" w:eastAsia="SimSun" w:cs="SimSun"/>
      <w:kern w:val="0"/>
      <w:sz w:val="24"/>
      <w:szCs w:val="24"/>
    </w:rPr>
  </w:style>
  <w:style w:type="character" w:customStyle="1" w:styleId="s36">
    <w:name w:val="s36"/>
    <w:basedOn w:val="Absatz-Standardschriftart"/>
  </w:style>
  <w:style w:type="paragraph" w:customStyle="1" w:styleId="s39">
    <w:name w:val="s39"/>
    <w:basedOn w:val="Standard"/>
    <w:qFormat/>
    <w:pPr>
      <w:widowControl/>
      <w:spacing w:before="100" w:beforeAutospacing="1" w:after="100" w:afterAutospacing="1"/>
      <w:jc w:val="left"/>
    </w:pPr>
    <w:rPr>
      <w:rFonts w:ascii="SimSun" w:eastAsia="SimSun" w:cs="SimSun"/>
      <w:kern w:val="0"/>
      <w:sz w:val="24"/>
      <w:szCs w:val="24"/>
    </w:rPr>
  </w:style>
  <w:style w:type="character" w:customStyle="1" w:styleId="s38">
    <w:name w:val="s38"/>
    <w:basedOn w:val="Absatz-Standardschriftart"/>
    <w:qFormat/>
  </w:style>
  <w:style w:type="paragraph" w:customStyle="1" w:styleId="s41">
    <w:name w:val="s41"/>
    <w:basedOn w:val="Standard"/>
    <w:qFormat/>
    <w:pPr>
      <w:widowControl/>
      <w:spacing w:before="100" w:beforeAutospacing="1" w:after="100" w:afterAutospacing="1"/>
      <w:jc w:val="left"/>
    </w:pPr>
    <w:rPr>
      <w:rFonts w:ascii="SimSun" w:eastAsia="SimSun" w:cs="SimSun"/>
      <w:kern w:val="0"/>
      <w:sz w:val="24"/>
      <w:szCs w:val="24"/>
    </w:rPr>
  </w:style>
  <w:style w:type="paragraph" w:customStyle="1" w:styleId="s43">
    <w:name w:val="s43"/>
    <w:basedOn w:val="Standard"/>
    <w:qFormat/>
    <w:pPr>
      <w:widowControl/>
      <w:spacing w:before="100" w:beforeAutospacing="1" w:after="100" w:afterAutospacing="1"/>
      <w:jc w:val="left"/>
    </w:pPr>
    <w:rPr>
      <w:rFonts w:ascii="SimSun" w:eastAsia="SimSun" w:cs="SimSun"/>
      <w:kern w:val="0"/>
      <w:sz w:val="24"/>
      <w:szCs w:val="24"/>
    </w:rPr>
  </w:style>
  <w:style w:type="character" w:customStyle="1" w:styleId="s45">
    <w:name w:val="s45"/>
    <w:basedOn w:val="Absatz-Standardschriftart"/>
    <w:qFormat/>
  </w:style>
  <w:style w:type="paragraph" w:customStyle="1" w:styleId="s46">
    <w:name w:val="s46"/>
    <w:basedOn w:val="Standard"/>
    <w:pPr>
      <w:widowControl/>
      <w:spacing w:before="100" w:beforeAutospacing="1" w:after="100" w:afterAutospacing="1"/>
      <w:jc w:val="left"/>
    </w:pPr>
    <w:rPr>
      <w:rFonts w:ascii="SimSun" w:eastAsia="SimSun" w:cs="SimSun"/>
      <w:kern w:val="0"/>
      <w:sz w:val="24"/>
      <w:szCs w:val="24"/>
    </w:rPr>
  </w:style>
  <w:style w:type="paragraph" w:customStyle="1" w:styleId="s47">
    <w:name w:val="s47"/>
    <w:basedOn w:val="Standard"/>
    <w:qFormat/>
    <w:pPr>
      <w:widowControl/>
      <w:spacing w:before="100" w:beforeAutospacing="1" w:after="100" w:afterAutospacing="1"/>
      <w:jc w:val="left"/>
    </w:pPr>
    <w:rPr>
      <w:rFonts w:ascii="SimSun" w:eastAsia="SimSun" w:cs="SimSun"/>
      <w:kern w:val="0"/>
      <w:sz w:val="24"/>
      <w:szCs w:val="24"/>
    </w:rPr>
  </w:style>
  <w:style w:type="character" w:customStyle="1" w:styleId="s55">
    <w:name w:val="s55"/>
    <w:basedOn w:val="Absatz-Standardschriftart"/>
    <w:qFormat/>
  </w:style>
  <w:style w:type="character" w:customStyle="1" w:styleId="s57">
    <w:name w:val="s57"/>
    <w:basedOn w:val="Absatz-Standardschriftart"/>
    <w:qFormat/>
  </w:style>
  <w:style w:type="paragraph" w:customStyle="1" w:styleId="s59">
    <w:name w:val="s59"/>
    <w:basedOn w:val="Standard"/>
    <w:qFormat/>
    <w:pPr>
      <w:widowControl/>
      <w:spacing w:before="100" w:beforeAutospacing="1" w:after="100" w:afterAutospacing="1"/>
      <w:jc w:val="left"/>
    </w:pPr>
    <w:rPr>
      <w:rFonts w:ascii="SimSun" w:eastAsia="SimSun" w:cs="SimSun"/>
      <w:kern w:val="0"/>
      <w:sz w:val="24"/>
      <w:szCs w:val="24"/>
    </w:rPr>
  </w:style>
  <w:style w:type="character" w:customStyle="1" w:styleId="s58">
    <w:name w:val="s58"/>
    <w:basedOn w:val="Absatz-Standardschriftart"/>
    <w:qFormat/>
  </w:style>
  <w:style w:type="paragraph" w:customStyle="1" w:styleId="s62">
    <w:name w:val="s62"/>
    <w:basedOn w:val="Standard"/>
    <w:qFormat/>
    <w:pPr>
      <w:widowControl/>
      <w:spacing w:before="100" w:beforeAutospacing="1" w:after="100" w:afterAutospacing="1"/>
      <w:jc w:val="left"/>
    </w:pPr>
    <w:rPr>
      <w:rFonts w:ascii="SimSun" w:eastAsia="SimSun" w:cs="SimSun"/>
      <w:kern w:val="0"/>
      <w:sz w:val="24"/>
      <w:szCs w:val="24"/>
    </w:rPr>
  </w:style>
  <w:style w:type="character" w:customStyle="1" w:styleId="s61">
    <w:name w:val="s61"/>
    <w:basedOn w:val="Absatz-Standardschriftart"/>
    <w:qFormat/>
  </w:style>
  <w:style w:type="paragraph" w:customStyle="1" w:styleId="10110">
    <w:name w:val="样式 101 10 磅"/>
    <w:next w:val="Standard"/>
    <w:pPr>
      <w:widowControl w:val="0"/>
      <w:ind w:firstLineChars="200" w:firstLine="200"/>
      <w:jc w:val="both"/>
    </w:pPr>
    <w:rPr>
      <w:rFonts w:ascii="Calibri" w:eastAsia="SimSun" w:hAnsi="Calibri" w:cs="Calibri"/>
      <w:kern w:val="2"/>
      <w:sz w:val="21"/>
      <w:szCs w:val="21"/>
      <w:lang w:val="en-US" w:eastAsia="zh-CN"/>
    </w:rPr>
  </w:style>
  <w:style w:type="paragraph" w:customStyle="1" w:styleId="101101">
    <w:name w:val="样式 101 10 磅1"/>
    <w:pPr>
      <w:widowControl w:val="0"/>
      <w:ind w:firstLineChars="200" w:firstLine="200"/>
      <w:jc w:val="both"/>
    </w:pPr>
    <w:rPr>
      <w:rFonts w:ascii="Calibri" w:eastAsia="SimSun" w:hAnsi="Calibri" w:cs="Calibri"/>
      <w:kern w:val="2"/>
      <w:sz w:val="21"/>
      <w:szCs w:val="21"/>
      <w:lang w:val="en-US" w:eastAsia="zh-CN"/>
    </w:rPr>
  </w:style>
  <w:style w:type="paragraph" w:customStyle="1" w:styleId="1">
    <w:name w:val="列出段落1"/>
    <w:next w:val="Index5"/>
    <w:qFormat/>
    <w:pPr>
      <w:widowControl w:val="0"/>
      <w:ind w:firstLineChars="200" w:firstLine="200"/>
      <w:jc w:val="both"/>
    </w:pPr>
    <w:rPr>
      <w:rFonts w:ascii="DengXian" w:eastAsia="DengXian" w:cs="DengXian"/>
      <w:kern w:val="2"/>
      <w:sz w:val="21"/>
      <w:szCs w:val="21"/>
      <w:lang w:val="en-US" w:eastAsia="zh-CN"/>
    </w:rPr>
  </w:style>
  <w:style w:type="paragraph" w:customStyle="1" w:styleId="10210">
    <w:name w:val="样式 102 10 磅"/>
    <w:pPr>
      <w:widowControl w:val="0"/>
      <w:jc w:val="both"/>
    </w:pPr>
    <w:rPr>
      <w:rFonts w:ascii="DengXian" w:eastAsia="DengXian" w:cs="DengXian"/>
      <w:kern w:val="2"/>
      <w:sz w:val="21"/>
      <w:szCs w:val="21"/>
      <w:lang w:val="en-US" w:eastAsia="zh-CN"/>
    </w:rPr>
  </w:style>
  <w:style w:type="paragraph" w:customStyle="1" w:styleId="10310">
    <w:name w:val="样式 103 10 磅"/>
    <w:pPr>
      <w:widowControl w:val="0"/>
      <w:jc w:val="both"/>
    </w:pPr>
    <w:rPr>
      <w:rFonts w:ascii="DengXian" w:eastAsia="DengXian" w:cs="DengXian"/>
      <w:kern w:val="2"/>
      <w:sz w:val="21"/>
      <w:szCs w:val="21"/>
      <w:lang w:val="en-US" w:eastAsia="zh-CN"/>
    </w:rPr>
  </w:style>
  <w:style w:type="paragraph" w:customStyle="1" w:styleId="10410">
    <w:name w:val="样式 104 10 磅"/>
    <w:pPr>
      <w:widowControl w:val="0"/>
      <w:ind w:firstLineChars="200" w:firstLine="200"/>
      <w:jc w:val="both"/>
    </w:pPr>
    <w:rPr>
      <w:rFonts w:ascii="DengXian" w:eastAsia="DengXian" w:cs="DengXian"/>
      <w:kern w:val="2"/>
      <w:sz w:val="21"/>
      <w:szCs w:val="21"/>
      <w:lang w:val="en-US" w:eastAsia="zh-CN"/>
    </w:rPr>
  </w:style>
  <w:style w:type="paragraph" w:customStyle="1" w:styleId="10510">
    <w:name w:val="样式 105 10 磅"/>
    <w:qFormat/>
    <w:pPr>
      <w:widowControl w:val="0"/>
      <w:jc w:val="both"/>
    </w:pPr>
    <w:rPr>
      <w:rFonts w:ascii="DengXian" w:eastAsia="DengXian" w:cs="DengXian"/>
      <w:kern w:val="2"/>
      <w:sz w:val="21"/>
      <w:szCs w:val="21"/>
      <w:lang w:val="en-US" w:eastAsia="zh-CN"/>
    </w:rPr>
  </w:style>
  <w:style w:type="paragraph" w:customStyle="1" w:styleId="10610">
    <w:name w:val="样式 106 10 磅"/>
    <w:qFormat/>
    <w:pPr>
      <w:widowControl w:val="0"/>
      <w:jc w:val="both"/>
    </w:pPr>
    <w:rPr>
      <w:rFonts w:ascii="DengXian" w:eastAsia="DengXian" w:cs="DengXian"/>
      <w:kern w:val="2"/>
      <w:sz w:val="21"/>
      <w:szCs w:val="21"/>
      <w:lang w:val="en-US" w:eastAsia="zh-CN"/>
    </w:rPr>
  </w:style>
  <w:style w:type="paragraph" w:customStyle="1" w:styleId="10">
    <w:name w:val="样式 10 磅"/>
    <w:pPr>
      <w:widowControl w:val="0"/>
      <w:jc w:val="both"/>
    </w:pPr>
    <w:rPr>
      <w:rFonts w:ascii="DengXian" w:eastAsia="DengXian" w:cs="Arial"/>
      <w:kern w:val="2"/>
      <w:sz w:val="21"/>
      <w:szCs w:val="22"/>
      <w:lang w:val="en-US" w:eastAsia="zh-CN"/>
    </w:rPr>
  </w:style>
  <w:style w:type="paragraph" w:customStyle="1" w:styleId="110">
    <w:name w:val="样式 1 10 磅"/>
    <w:qFormat/>
    <w:pPr>
      <w:widowControl w:val="0"/>
      <w:ind w:firstLineChars="200" w:firstLine="200"/>
      <w:jc w:val="both"/>
    </w:pPr>
    <w:rPr>
      <w:rFonts w:ascii="DengXian" w:eastAsia="DengXian" w:cs="Arial"/>
      <w:kern w:val="2"/>
      <w:sz w:val="21"/>
      <w:szCs w:val="22"/>
      <w:lang w:val="en-US" w:eastAsia="zh-CN"/>
    </w:rPr>
  </w:style>
  <w:style w:type="paragraph" w:customStyle="1" w:styleId="6110">
    <w:name w:val="样式 61 10 磅"/>
    <w:pPr>
      <w:widowControl w:val="0"/>
      <w:ind w:firstLineChars="200" w:firstLine="200"/>
      <w:jc w:val="both"/>
    </w:pPr>
    <w:rPr>
      <w:rFonts w:ascii="Calibri" w:eastAsia="SimSun" w:hAnsi="Calibri" w:cs="SimHei"/>
      <w:kern w:val="2"/>
      <w:sz w:val="21"/>
      <w:szCs w:val="22"/>
      <w:lang w:val="en-US" w:eastAsia="zh-CN"/>
    </w:rPr>
  </w:style>
  <w:style w:type="paragraph" w:customStyle="1" w:styleId="210">
    <w:name w:val="样式 2 10 磅"/>
    <w:pPr>
      <w:widowControl w:val="0"/>
      <w:jc w:val="both"/>
    </w:pPr>
    <w:rPr>
      <w:rFonts w:ascii="DengXian" w:eastAsia="DengXian" w:cs="Arial"/>
      <w:kern w:val="2"/>
      <w:sz w:val="21"/>
      <w:szCs w:val="22"/>
      <w:lang w:val="en-US" w:eastAsia="zh-CN"/>
    </w:rPr>
  </w:style>
  <w:style w:type="paragraph" w:customStyle="1" w:styleId="310">
    <w:name w:val="样式 3 10 磅"/>
    <w:pPr>
      <w:widowControl w:val="0"/>
      <w:jc w:val="both"/>
    </w:pPr>
    <w:rPr>
      <w:rFonts w:ascii="DengXian" w:eastAsia="DengXian" w:cs="Arial"/>
      <w:kern w:val="2"/>
      <w:sz w:val="21"/>
      <w:szCs w:val="22"/>
      <w:lang w:val="en-US" w:eastAsia="zh-CN"/>
    </w:rPr>
  </w:style>
  <w:style w:type="paragraph" w:customStyle="1" w:styleId="410">
    <w:name w:val="样式 4 10 磅"/>
    <w:pPr>
      <w:widowControl w:val="0"/>
      <w:jc w:val="both"/>
    </w:pPr>
    <w:rPr>
      <w:rFonts w:ascii="DengXian" w:eastAsia="DengXian" w:cs="Arial"/>
      <w:kern w:val="2"/>
      <w:sz w:val="21"/>
      <w:szCs w:val="22"/>
      <w:lang w:val="en-US" w:eastAsia="zh-CN"/>
    </w:rPr>
  </w:style>
  <w:style w:type="paragraph" w:customStyle="1" w:styleId="510">
    <w:name w:val="样式 5 10 磅"/>
    <w:pPr>
      <w:widowControl w:val="0"/>
      <w:jc w:val="both"/>
    </w:pPr>
    <w:rPr>
      <w:rFonts w:ascii="DengXian" w:eastAsia="DengXian" w:cs="Arial"/>
      <w:kern w:val="2"/>
      <w:sz w:val="21"/>
      <w:szCs w:val="22"/>
      <w:lang w:val="en-US" w:eastAsia="zh-CN"/>
    </w:rPr>
  </w:style>
  <w:style w:type="paragraph" w:customStyle="1" w:styleId="610">
    <w:name w:val="样式 6 10 磅"/>
    <w:qFormat/>
    <w:pPr>
      <w:widowControl w:val="0"/>
      <w:jc w:val="both"/>
    </w:pPr>
    <w:rPr>
      <w:rFonts w:ascii="DengXian" w:eastAsia="DengXian" w:cs="Arial"/>
      <w:kern w:val="2"/>
      <w:sz w:val="21"/>
      <w:szCs w:val="22"/>
      <w:lang w:val="en-US" w:eastAsia="zh-CN"/>
    </w:rPr>
  </w:style>
  <w:style w:type="paragraph" w:customStyle="1" w:styleId="710">
    <w:name w:val="样式 7 10 磅"/>
    <w:pPr>
      <w:widowControl w:val="0"/>
      <w:jc w:val="both"/>
    </w:pPr>
    <w:rPr>
      <w:rFonts w:ascii="DengXian" w:eastAsia="DengXian" w:cs="Arial"/>
      <w:kern w:val="2"/>
      <w:sz w:val="21"/>
      <w:szCs w:val="22"/>
      <w:lang w:val="en-US" w:eastAsia="zh-CN"/>
    </w:rPr>
  </w:style>
  <w:style w:type="paragraph" w:customStyle="1" w:styleId="810">
    <w:name w:val="样式 8 10 磅"/>
    <w:pPr>
      <w:widowControl w:val="0"/>
      <w:jc w:val="both"/>
    </w:pPr>
    <w:rPr>
      <w:rFonts w:ascii="DengXian" w:eastAsia="DengXian" w:cs="Arial"/>
      <w:kern w:val="2"/>
      <w:sz w:val="21"/>
      <w:szCs w:val="22"/>
      <w:lang w:val="en-US" w:eastAsia="zh-CN"/>
    </w:rPr>
  </w:style>
  <w:style w:type="paragraph" w:customStyle="1" w:styleId="910">
    <w:name w:val="样式 9 10 磅"/>
    <w:qFormat/>
    <w:pPr>
      <w:widowControl w:val="0"/>
      <w:jc w:val="both"/>
    </w:pPr>
    <w:rPr>
      <w:rFonts w:ascii="DengXian" w:eastAsia="DengXian" w:cs="Arial"/>
      <w:kern w:val="2"/>
      <w:sz w:val="21"/>
      <w:szCs w:val="22"/>
      <w:lang w:val="en-US" w:eastAsia="zh-CN"/>
    </w:rPr>
  </w:style>
  <w:style w:type="paragraph" w:customStyle="1" w:styleId="1010">
    <w:name w:val="样式 10 10 磅"/>
    <w:qFormat/>
    <w:pPr>
      <w:widowControl w:val="0"/>
      <w:jc w:val="both"/>
    </w:pPr>
    <w:rPr>
      <w:rFonts w:ascii="DengXian" w:eastAsia="DengXian" w:cs="Arial"/>
      <w:kern w:val="2"/>
      <w:sz w:val="21"/>
      <w:szCs w:val="22"/>
      <w:lang w:val="en-US" w:eastAsia="zh-CN"/>
    </w:rPr>
  </w:style>
  <w:style w:type="paragraph" w:customStyle="1" w:styleId="1110">
    <w:name w:val="样式 11 10 磅"/>
    <w:pPr>
      <w:widowControl w:val="0"/>
      <w:jc w:val="both"/>
    </w:pPr>
    <w:rPr>
      <w:rFonts w:ascii="DengXian" w:eastAsia="DengXian" w:cs="Arial"/>
      <w:kern w:val="2"/>
      <w:sz w:val="21"/>
      <w:szCs w:val="22"/>
      <w:lang w:val="en-US" w:eastAsia="zh-CN"/>
    </w:rPr>
  </w:style>
  <w:style w:type="paragraph" w:customStyle="1" w:styleId="1210">
    <w:name w:val="样式 12 10 磅"/>
    <w:qFormat/>
    <w:pPr>
      <w:widowControl w:val="0"/>
      <w:jc w:val="both"/>
    </w:pPr>
    <w:rPr>
      <w:rFonts w:ascii="DengXian" w:eastAsia="DengXian" w:cs="Arial"/>
      <w:kern w:val="2"/>
      <w:sz w:val="21"/>
      <w:szCs w:val="22"/>
      <w:lang w:val="en-US" w:eastAsia="zh-CN"/>
    </w:rPr>
  </w:style>
  <w:style w:type="character" w:customStyle="1" w:styleId="KommentartextZchn">
    <w:name w:val="Kommentartext Zchn"/>
    <w:link w:val="Kommentartext"/>
    <w:uiPriority w:val="99"/>
    <w:semiHidden/>
    <w:qFormat/>
    <w:rPr>
      <w:rFonts w:ascii="DengXian" w:eastAsia="DengXian"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3817</Words>
  <Characters>24050</Characters>
  <Application>Microsoft Office Word</Application>
  <DocSecurity>4</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GZCUSTOMS</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HAB6304</dc:creator>
  <cp:lastModifiedBy>Loitsch, Angelika</cp:lastModifiedBy>
  <cp:revision>2</cp:revision>
  <dcterms:created xsi:type="dcterms:W3CDTF">2023-02-22T11:40:00Z</dcterms:created>
  <dcterms:modified xsi:type="dcterms:W3CDTF">2023-02-22T11:40:00Z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7F3AB0578AF947B69072BA7198F2A5BB</vt:lpwstr>
  </property>
</Properties>
</file>